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E4AE" w14:textId="77777777" w:rsidR="007773B5" w:rsidRPr="00B909EA" w:rsidRDefault="00EB1727" w:rsidP="00EB1727">
      <w:pPr>
        <w:jc w:val="center"/>
        <w:rPr>
          <w:sz w:val="28"/>
          <w:szCs w:val="28"/>
        </w:rPr>
      </w:pPr>
      <w:r w:rsidRPr="00B909EA">
        <w:rPr>
          <w:sz w:val="28"/>
          <w:szCs w:val="28"/>
        </w:rPr>
        <w:t xml:space="preserve">Сведения об особенностях ведения </w:t>
      </w:r>
      <w:r w:rsidR="0094779E" w:rsidRPr="00B909EA">
        <w:rPr>
          <w:sz w:val="28"/>
          <w:szCs w:val="28"/>
        </w:rPr>
        <w:t>бюджетного</w:t>
      </w:r>
      <w:r w:rsidRPr="00B909EA">
        <w:rPr>
          <w:sz w:val="28"/>
          <w:szCs w:val="28"/>
        </w:rPr>
        <w:t xml:space="preserve"> учета</w:t>
      </w:r>
      <w:r w:rsidR="00DB2B90" w:rsidRPr="00B909EA">
        <w:rPr>
          <w:sz w:val="28"/>
          <w:szCs w:val="28"/>
        </w:rPr>
        <w:t xml:space="preserve"> с 01.01.20</w:t>
      </w:r>
      <w:r w:rsidR="0044102F" w:rsidRPr="00B909EA">
        <w:rPr>
          <w:sz w:val="28"/>
          <w:szCs w:val="28"/>
        </w:rPr>
        <w:t>2</w:t>
      </w:r>
      <w:r w:rsidR="007D120B" w:rsidRPr="00B909EA">
        <w:rPr>
          <w:sz w:val="28"/>
          <w:szCs w:val="28"/>
        </w:rPr>
        <w:t>6</w:t>
      </w:r>
      <w:r w:rsidR="00DB2B90" w:rsidRPr="00B909EA">
        <w:rPr>
          <w:sz w:val="28"/>
          <w:szCs w:val="28"/>
        </w:rPr>
        <w:t>г</w:t>
      </w:r>
    </w:p>
    <w:p w14:paraId="0DD18C74" w14:textId="77777777" w:rsidR="00EB1727" w:rsidRPr="00B909EA" w:rsidRDefault="00EB1727" w:rsidP="00EB1727">
      <w:pPr>
        <w:jc w:val="center"/>
        <w:rPr>
          <w:sz w:val="28"/>
          <w:szCs w:val="28"/>
        </w:rPr>
      </w:pPr>
    </w:p>
    <w:tbl>
      <w:tblPr>
        <w:tblStyle w:val="a3"/>
        <w:tblW w:w="14850" w:type="dxa"/>
        <w:tblLayout w:type="fixed"/>
        <w:tblLook w:val="04A0" w:firstRow="1" w:lastRow="0" w:firstColumn="1" w:lastColumn="0" w:noHBand="0" w:noVBand="1"/>
      </w:tblPr>
      <w:tblGrid>
        <w:gridCol w:w="2451"/>
        <w:gridCol w:w="1695"/>
        <w:gridCol w:w="4638"/>
        <w:gridCol w:w="6066"/>
      </w:tblGrid>
      <w:tr w:rsidR="00B909EA" w:rsidRPr="00B909EA" w14:paraId="2DC18176" w14:textId="77777777" w:rsidTr="00090E2A">
        <w:tc>
          <w:tcPr>
            <w:tcW w:w="2451" w:type="dxa"/>
          </w:tcPr>
          <w:p w14:paraId="3B05FC2F" w14:textId="77777777" w:rsidR="00EB1727" w:rsidRPr="00B909EA" w:rsidRDefault="00EB1727" w:rsidP="00EB1727">
            <w:pPr>
              <w:jc w:val="center"/>
              <w:rPr>
                <w:sz w:val="28"/>
                <w:szCs w:val="28"/>
              </w:rPr>
            </w:pPr>
            <w:r w:rsidRPr="00B909EA">
              <w:rPr>
                <w:sz w:val="28"/>
                <w:szCs w:val="28"/>
              </w:rPr>
              <w:t>Наименование объекта учета</w:t>
            </w:r>
          </w:p>
        </w:tc>
        <w:tc>
          <w:tcPr>
            <w:tcW w:w="1695" w:type="dxa"/>
          </w:tcPr>
          <w:p w14:paraId="6FA859D5" w14:textId="77777777" w:rsidR="00EB1727" w:rsidRPr="00B909EA" w:rsidRDefault="00EB1727" w:rsidP="00EB1727">
            <w:pPr>
              <w:jc w:val="center"/>
              <w:rPr>
                <w:sz w:val="28"/>
                <w:szCs w:val="28"/>
              </w:rPr>
            </w:pPr>
            <w:r w:rsidRPr="00B909EA">
              <w:rPr>
                <w:sz w:val="28"/>
                <w:szCs w:val="28"/>
              </w:rPr>
              <w:t>Код счета бюджетного учета</w:t>
            </w:r>
          </w:p>
        </w:tc>
        <w:tc>
          <w:tcPr>
            <w:tcW w:w="4638" w:type="dxa"/>
          </w:tcPr>
          <w:p w14:paraId="288B3A84" w14:textId="77777777" w:rsidR="00EB1727" w:rsidRPr="00B909EA" w:rsidRDefault="001875D1" w:rsidP="00EB1727">
            <w:pPr>
              <w:jc w:val="center"/>
              <w:rPr>
                <w:sz w:val="28"/>
                <w:szCs w:val="28"/>
              </w:rPr>
            </w:pPr>
            <w:r w:rsidRPr="00B909EA">
              <w:rPr>
                <w:sz w:val="28"/>
                <w:szCs w:val="28"/>
              </w:rPr>
              <w:t>Отличительные особенности методологических положений учетной политики /</w:t>
            </w:r>
            <w:r w:rsidR="00EB1727" w:rsidRPr="00B909EA">
              <w:rPr>
                <w:sz w:val="28"/>
                <w:szCs w:val="28"/>
              </w:rPr>
              <w:t>Характеристика метода оценки и момент отражения операции в учете</w:t>
            </w:r>
          </w:p>
        </w:tc>
        <w:tc>
          <w:tcPr>
            <w:tcW w:w="6066" w:type="dxa"/>
          </w:tcPr>
          <w:p w14:paraId="0050906E" w14:textId="77777777" w:rsidR="00EB1727" w:rsidRPr="00B909EA" w:rsidRDefault="00EB1727" w:rsidP="00EB1727">
            <w:pPr>
              <w:jc w:val="center"/>
              <w:rPr>
                <w:sz w:val="28"/>
                <w:szCs w:val="28"/>
              </w:rPr>
            </w:pPr>
            <w:r w:rsidRPr="00B909EA">
              <w:rPr>
                <w:sz w:val="28"/>
                <w:szCs w:val="28"/>
              </w:rPr>
              <w:t>Правовое обоснование</w:t>
            </w:r>
          </w:p>
        </w:tc>
      </w:tr>
      <w:tr w:rsidR="00B909EA" w:rsidRPr="00B909EA" w14:paraId="7D3A6518" w14:textId="77777777" w:rsidTr="00090E2A">
        <w:tc>
          <w:tcPr>
            <w:tcW w:w="2451" w:type="dxa"/>
          </w:tcPr>
          <w:p w14:paraId="739059DE" w14:textId="77777777" w:rsidR="00EB1727" w:rsidRPr="00B909EA" w:rsidRDefault="00EB1727" w:rsidP="00EB1727">
            <w:pPr>
              <w:jc w:val="center"/>
              <w:rPr>
                <w:sz w:val="28"/>
                <w:szCs w:val="28"/>
              </w:rPr>
            </w:pPr>
            <w:r w:rsidRPr="00B909EA">
              <w:rPr>
                <w:sz w:val="28"/>
                <w:szCs w:val="28"/>
              </w:rPr>
              <w:t>1</w:t>
            </w:r>
          </w:p>
        </w:tc>
        <w:tc>
          <w:tcPr>
            <w:tcW w:w="1695" w:type="dxa"/>
          </w:tcPr>
          <w:p w14:paraId="03D48540" w14:textId="77777777" w:rsidR="00EB1727" w:rsidRPr="00B909EA" w:rsidRDefault="00EB1727" w:rsidP="00EB1727">
            <w:pPr>
              <w:jc w:val="center"/>
              <w:rPr>
                <w:sz w:val="28"/>
                <w:szCs w:val="28"/>
              </w:rPr>
            </w:pPr>
            <w:r w:rsidRPr="00B909EA">
              <w:rPr>
                <w:sz w:val="28"/>
                <w:szCs w:val="28"/>
              </w:rPr>
              <w:t>2</w:t>
            </w:r>
          </w:p>
        </w:tc>
        <w:tc>
          <w:tcPr>
            <w:tcW w:w="4638" w:type="dxa"/>
          </w:tcPr>
          <w:p w14:paraId="0B08956F" w14:textId="77777777" w:rsidR="00EB1727" w:rsidRPr="00B909EA" w:rsidRDefault="00EB1727" w:rsidP="00EB1727">
            <w:pPr>
              <w:jc w:val="center"/>
              <w:rPr>
                <w:sz w:val="28"/>
                <w:szCs w:val="28"/>
              </w:rPr>
            </w:pPr>
            <w:r w:rsidRPr="00B909EA">
              <w:rPr>
                <w:sz w:val="28"/>
                <w:szCs w:val="28"/>
              </w:rPr>
              <w:t>3</w:t>
            </w:r>
          </w:p>
        </w:tc>
        <w:tc>
          <w:tcPr>
            <w:tcW w:w="6066" w:type="dxa"/>
          </w:tcPr>
          <w:p w14:paraId="63598B1B" w14:textId="77777777" w:rsidR="00EB1727" w:rsidRPr="00B909EA" w:rsidRDefault="00EB1727" w:rsidP="00EB1727">
            <w:pPr>
              <w:jc w:val="center"/>
              <w:rPr>
                <w:sz w:val="28"/>
                <w:szCs w:val="28"/>
              </w:rPr>
            </w:pPr>
            <w:r w:rsidRPr="00B909EA">
              <w:rPr>
                <w:sz w:val="28"/>
                <w:szCs w:val="28"/>
              </w:rPr>
              <w:t>4</w:t>
            </w:r>
          </w:p>
        </w:tc>
      </w:tr>
      <w:tr w:rsidR="00B909EA" w:rsidRPr="00B909EA" w14:paraId="6F8E9C1F" w14:textId="77777777" w:rsidTr="00090E2A">
        <w:trPr>
          <w:trHeight w:val="2105"/>
        </w:trPr>
        <w:tc>
          <w:tcPr>
            <w:tcW w:w="2451" w:type="dxa"/>
          </w:tcPr>
          <w:p w14:paraId="44454533" w14:textId="77777777" w:rsidR="00EB1727" w:rsidRPr="00B909EA" w:rsidRDefault="00EB1727" w:rsidP="00EB1727">
            <w:pPr>
              <w:jc w:val="center"/>
            </w:pPr>
            <w:r w:rsidRPr="00B909EA">
              <w:t xml:space="preserve">Публикация основных положений учетной политики </w:t>
            </w:r>
          </w:p>
        </w:tc>
        <w:tc>
          <w:tcPr>
            <w:tcW w:w="1695" w:type="dxa"/>
          </w:tcPr>
          <w:p w14:paraId="307C9C8E" w14:textId="77777777" w:rsidR="00EB1727" w:rsidRPr="00B909EA" w:rsidRDefault="00EB1727" w:rsidP="00EB1727">
            <w:pPr>
              <w:jc w:val="center"/>
            </w:pPr>
          </w:p>
        </w:tc>
        <w:tc>
          <w:tcPr>
            <w:tcW w:w="4638" w:type="dxa"/>
          </w:tcPr>
          <w:p w14:paraId="378EC40F" w14:textId="77777777" w:rsidR="00EB1727" w:rsidRPr="00B909EA" w:rsidRDefault="00EB1727" w:rsidP="00EB1727">
            <w:pPr>
              <w:jc w:val="center"/>
            </w:pPr>
            <w:r w:rsidRPr="00B909EA">
              <w:t>Учреждение публикует основные положения учетной политики на своем официальном сайте путем размещения</w:t>
            </w:r>
          </w:p>
        </w:tc>
        <w:tc>
          <w:tcPr>
            <w:tcW w:w="6066" w:type="dxa"/>
          </w:tcPr>
          <w:p w14:paraId="7B04506F" w14:textId="77777777" w:rsidR="00EB1727" w:rsidRPr="00B909EA" w:rsidRDefault="00EB1727" w:rsidP="00EB1727">
            <w:pPr>
              <w:jc w:val="center"/>
            </w:pPr>
            <w:r w:rsidRPr="00B909EA">
              <w:t>Пункт 9 СГС «Учетная политика, оценочные значения и ошибки»</w:t>
            </w:r>
          </w:p>
        </w:tc>
      </w:tr>
      <w:tr w:rsidR="00B909EA" w:rsidRPr="00B909EA" w14:paraId="02308B2B" w14:textId="77777777" w:rsidTr="00090E2A">
        <w:tc>
          <w:tcPr>
            <w:tcW w:w="2451" w:type="dxa"/>
          </w:tcPr>
          <w:p w14:paraId="4D083D62" w14:textId="77777777" w:rsidR="00232210" w:rsidRPr="00B909EA" w:rsidRDefault="00232210" w:rsidP="00285FE1">
            <w:pPr>
              <w:jc w:val="center"/>
              <w:rPr>
                <w:shd w:val="clear" w:color="auto" w:fill="FFFFFF"/>
              </w:rPr>
            </w:pPr>
            <w:r w:rsidRPr="00B909EA">
              <w:rPr>
                <w:shd w:val="clear" w:color="auto" w:fill="FFFFFF"/>
              </w:rPr>
              <w:t xml:space="preserve">Способ ведения бухгалтерского учета </w:t>
            </w:r>
          </w:p>
        </w:tc>
        <w:tc>
          <w:tcPr>
            <w:tcW w:w="1695" w:type="dxa"/>
          </w:tcPr>
          <w:p w14:paraId="5027B6A3" w14:textId="77777777" w:rsidR="00232210" w:rsidRPr="00B909EA" w:rsidRDefault="00232210" w:rsidP="00EB1727">
            <w:pPr>
              <w:jc w:val="center"/>
            </w:pPr>
          </w:p>
        </w:tc>
        <w:tc>
          <w:tcPr>
            <w:tcW w:w="4638" w:type="dxa"/>
          </w:tcPr>
          <w:p w14:paraId="1E96637C" w14:textId="77777777" w:rsidR="00232210" w:rsidRPr="00B909EA" w:rsidRDefault="00232210" w:rsidP="00232210">
            <w:pPr>
              <w:jc w:val="center"/>
            </w:pPr>
            <w:r w:rsidRPr="00B909EA">
              <w:t xml:space="preserve"> Бухгалтерский учет ведется в электронном виде с применением программных продуктов «1</w:t>
            </w:r>
            <w:proofErr w:type="gramStart"/>
            <w:r w:rsidRPr="00B909EA">
              <w:t>С:Бухгалтерия</w:t>
            </w:r>
            <w:proofErr w:type="gramEnd"/>
            <w:r w:rsidRPr="00B909EA">
              <w:t>», «Зарплата».</w:t>
            </w:r>
          </w:p>
        </w:tc>
        <w:tc>
          <w:tcPr>
            <w:tcW w:w="6066" w:type="dxa"/>
          </w:tcPr>
          <w:p w14:paraId="0A733E7A" w14:textId="2902F6DC" w:rsidR="00232210" w:rsidRPr="00B909EA" w:rsidRDefault="00232210" w:rsidP="00232210">
            <w:pPr>
              <w:tabs>
                <w:tab w:val="left" w:pos="2266"/>
              </w:tabs>
            </w:pPr>
          </w:p>
        </w:tc>
      </w:tr>
      <w:tr w:rsidR="00B909EA" w:rsidRPr="00B909EA" w14:paraId="58AA56AB" w14:textId="77777777" w:rsidTr="00090E2A">
        <w:tc>
          <w:tcPr>
            <w:tcW w:w="2451" w:type="dxa"/>
          </w:tcPr>
          <w:p w14:paraId="1B57909E" w14:textId="77777777" w:rsidR="001D3DCE" w:rsidRPr="00B909EA" w:rsidRDefault="001D3DCE" w:rsidP="001D3DCE">
            <w:pPr>
              <w:jc w:val="center"/>
              <w:rPr>
                <w:shd w:val="clear" w:color="auto" w:fill="FFFFFF"/>
              </w:rPr>
            </w:pPr>
            <w:r w:rsidRPr="00B909EA">
              <w:br/>
            </w:r>
            <w:r w:rsidRPr="00B909EA">
              <w:rPr>
                <w:shd w:val="clear" w:color="auto" w:fill="FFFFFF"/>
              </w:rPr>
              <w:t>Способ обмена электронными документами</w:t>
            </w:r>
          </w:p>
          <w:p w14:paraId="0953C662" w14:textId="77777777" w:rsidR="001D3DCE" w:rsidRPr="00B909EA" w:rsidRDefault="001D3DCE" w:rsidP="001D3DCE">
            <w:pPr>
              <w:tabs>
                <w:tab w:val="left" w:pos="212"/>
              </w:tabs>
              <w:jc w:val="center"/>
              <w:rPr>
                <w:shd w:val="clear" w:color="auto" w:fill="FFFFFF"/>
              </w:rPr>
            </w:pPr>
          </w:p>
        </w:tc>
        <w:tc>
          <w:tcPr>
            <w:tcW w:w="1695" w:type="dxa"/>
          </w:tcPr>
          <w:p w14:paraId="6DEE64EE" w14:textId="77777777" w:rsidR="001D3DCE" w:rsidRPr="00B909EA" w:rsidRDefault="001D3DCE" w:rsidP="00EB1727">
            <w:pPr>
              <w:jc w:val="center"/>
            </w:pPr>
          </w:p>
        </w:tc>
        <w:tc>
          <w:tcPr>
            <w:tcW w:w="4638" w:type="dxa"/>
          </w:tcPr>
          <w:p w14:paraId="6DA2FBAA" w14:textId="77777777" w:rsidR="001D3DCE" w:rsidRPr="00B909EA" w:rsidRDefault="001D3DCE" w:rsidP="001D3DCE">
            <w:pPr>
              <w:jc w:val="center"/>
            </w:pPr>
            <w:r w:rsidRPr="00B909EA">
              <w:rPr>
                <w:shd w:val="clear" w:color="auto" w:fill="FFFFFF"/>
              </w:rPr>
              <w:t>Обмен электронными первичными документами внутри учреждения осуществляется с использованием бухгалтерской программы </w:t>
            </w:r>
            <w:r w:rsidRPr="00B909EA">
              <w:rPr>
                <w:iCs/>
                <w:shd w:val="clear" w:color="auto" w:fill="FFFFCC"/>
              </w:rPr>
              <w:t xml:space="preserve">«1С: Бухгалтерия государственного учреждения 8 </w:t>
            </w:r>
            <w:proofErr w:type="spellStart"/>
            <w:r w:rsidRPr="00B909EA">
              <w:rPr>
                <w:iCs/>
                <w:shd w:val="clear" w:color="auto" w:fill="FFFFCC"/>
              </w:rPr>
              <w:t>Проф</w:t>
            </w:r>
            <w:proofErr w:type="spellEnd"/>
            <w:r w:rsidRPr="00B909EA">
              <w:rPr>
                <w:iCs/>
                <w:shd w:val="clear" w:color="auto" w:fill="FFFFCC"/>
              </w:rPr>
              <w:t>»</w:t>
            </w:r>
            <w:r w:rsidRPr="00B909EA">
              <w:rPr>
                <w:shd w:val="clear" w:color="auto" w:fill="FFFFFF"/>
              </w:rPr>
              <w:t>.</w:t>
            </w:r>
          </w:p>
        </w:tc>
        <w:tc>
          <w:tcPr>
            <w:tcW w:w="6066" w:type="dxa"/>
          </w:tcPr>
          <w:p w14:paraId="209D96AE" w14:textId="0C82D5FB" w:rsidR="001D3DCE" w:rsidRPr="00B909EA" w:rsidRDefault="001D3DCE" w:rsidP="001D3DCE">
            <w:pPr>
              <w:jc w:val="both"/>
            </w:pPr>
            <w:r w:rsidRPr="00B909EA">
              <w:br/>
            </w:r>
            <w:r w:rsidR="007D120B" w:rsidRPr="00B909EA">
              <w:rPr>
                <w:shd w:val="clear" w:color="auto" w:fill="FFFFFF"/>
              </w:rPr>
              <w:t> </w:t>
            </w:r>
            <w:hyperlink r:id="rId6" w:history="1">
              <w:r w:rsidR="00090E2A" w:rsidRPr="00B909EA">
                <w:t>П</w:t>
              </w:r>
              <w:r w:rsidR="007D120B" w:rsidRPr="00B909EA">
                <w:t>ункт 1</w:t>
              </w:r>
            </w:hyperlink>
            <w:r w:rsidR="007D120B" w:rsidRPr="00B909EA">
              <w:rPr>
                <w:shd w:val="clear" w:color="auto" w:fill="FFFFFF"/>
              </w:rPr>
              <w:t> приложения № 2 к СГС «Учетная политика, оценочные значения и ошибки».</w:t>
            </w:r>
          </w:p>
        </w:tc>
      </w:tr>
      <w:tr w:rsidR="00B909EA" w:rsidRPr="00B909EA" w14:paraId="7F26E280" w14:textId="77777777" w:rsidTr="00090E2A">
        <w:tc>
          <w:tcPr>
            <w:tcW w:w="2451" w:type="dxa"/>
          </w:tcPr>
          <w:p w14:paraId="19CBC693" w14:textId="77777777" w:rsidR="00285FE1" w:rsidRPr="00B909EA" w:rsidRDefault="00285FE1" w:rsidP="00285FE1">
            <w:pPr>
              <w:jc w:val="center"/>
            </w:pPr>
            <w:r w:rsidRPr="00B909EA">
              <w:rPr>
                <w:shd w:val="clear" w:color="auto" w:fill="FFFFFF"/>
              </w:rPr>
              <w:t>Порядок и сроки передачи первичных учетных документов для отражения в</w:t>
            </w:r>
          </w:p>
          <w:p w14:paraId="398DB0D2" w14:textId="77777777" w:rsidR="00EB1727" w:rsidRPr="00B909EA" w:rsidRDefault="00285FE1" w:rsidP="00285FE1">
            <w:pPr>
              <w:jc w:val="center"/>
            </w:pPr>
            <w:r w:rsidRPr="00B909EA">
              <w:rPr>
                <w:shd w:val="clear" w:color="auto" w:fill="FFFFFF"/>
              </w:rPr>
              <w:t>бухгалтерском учете</w:t>
            </w:r>
          </w:p>
        </w:tc>
        <w:tc>
          <w:tcPr>
            <w:tcW w:w="1695" w:type="dxa"/>
          </w:tcPr>
          <w:p w14:paraId="0BC543B5" w14:textId="77777777" w:rsidR="00EB1727" w:rsidRPr="00B909EA" w:rsidRDefault="00EB1727" w:rsidP="00EB1727">
            <w:pPr>
              <w:jc w:val="center"/>
            </w:pPr>
          </w:p>
        </w:tc>
        <w:tc>
          <w:tcPr>
            <w:tcW w:w="4638" w:type="dxa"/>
          </w:tcPr>
          <w:p w14:paraId="29C31AF2" w14:textId="77777777" w:rsidR="00EB1727" w:rsidRPr="00B909EA" w:rsidRDefault="00285FE1" w:rsidP="00285FE1">
            <w:pPr>
              <w:jc w:val="center"/>
            </w:pPr>
            <w:r w:rsidRPr="00B909EA">
              <w:t>Порядок и сроки передачи первичных учетных документов для отражения в бухгалтерском учете</w:t>
            </w:r>
            <w:r w:rsidR="004B1B07" w:rsidRPr="00B909EA">
              <w:t xml:space="preserve"> устанавливаются</w:t>
            </w:r>
            <w:r w:rsidR="00C40D22" w:rsidRPr="00B909EA">
              <w:t xml:space="preserve">     </w:t>
            </w:r>
            <w:r w:rsidR="004B1B07" w:rsidRPr="00B909EA">
              <w:t xml:space="preserve"> в соответствии с графиком документооборота</w:t>
            </w:r>
          </w:p>
        </w:tc>
        <w:tc>
          <w:tcPr>
            <w:tcW w:w="6066" w:type="dxa"/>
          </w:tcPr>
          <w:p w14:paraId="3CED857D" w14:textId="77777777" w:rsidR="00EB1727" w:rsidRPr="00B909EA" w:rsidRDefault="004B1B07" w:rsidP="00EB1727">
            <w:pPr>
              <w:jc w:val="center"/>
            </w:pPr>
            <w:r w:rsidRPr="00B909EA">
              <w:t>Пункт 22 СГС «Концептуальные основы бухучета и отчетности», подпункт «д» пункта 9 СГС «Учетная политика, оценочные значения и ошибки».</w:t>
            </w:r>
          </w:p>
        </w:tc>
      </w:tr>
      <w:tr w:rsidR="00B909EA" w:rsidRPr="00B909EA" w14:paraId="40FD0CEF" w14:textId="77777777" w:rsidTr="00090E2A">
        <w:tc>
          <w:tcPr>
            <w:tcW w:w="2451" w:type="dxa"/>
          </w:tcPr>
          <w:p w14:paraId="11CC3D64" w14:textId="77777777" w:rsidR="00273888" w:rsidRPr="00B909EA" w:rsidRDefault="00273888" w:rsidP="00273888">
            <w:pPr>
              <w:jc w:val="center"/>
            </w:pPr>
            <w:r w:rsidRPr="00B909EA">
              <w:lastRenderedPageBreak/>
              <w:t>Защита персональных данных</w:t>
            </w:r>
          </w:p>
        </w:tc>
        <w:tc>
          <w:tcPr>
            <w:tcW w:w="1695" w:type="dxa"/>
          </w:tcPr>
          <w:p w14:paraId="635BE697" w14:textId="77777777" w:rsidR="00273888" w:rsidRPr="00B909EA" w:rsidRDefault="00273888" w:rsidP="00273888">
            <w:pPr>
              <w:jc w:val="center"/>
            </w:pPr>
          </w:p>
        </w:tc>
        <w:tc>
          <w:tcPr>
            <w:tcW w:w="4638" w:type="dxa"/>
          </w:tcPr>
          <w:p w14:paraId="57AA10B6" w14:textId="77777777" w:rsidR="00273888" w:rsidRPr="00B909EA" w:rsidRDefault="00273888" w:rsidP="00273888">
            <w:pPr>
              <w:jc w:val="center"/>
              <w:rPr>
                <w:shd w:val="clear" w:color="auto" w:fill="FFFFFF"/>
              </w:rPr>
            </w:pPr>
            <w:r w:rsidRPr="00B909EA">
              <w:br/>
            </w:r>
            <w:r w:rsidRPr="00B909EA">
              <w:rPr>
                <w:shd w:val="clear" w:color="auto" w:fill="FFFFFF"/>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tc>
        <w:tc>
          <w:tcPr>
            <w:tcW w:w="6066" w:type="dxa"/>
          </w:tcPr>
          <w:p w14:paraId="324FF880" w14:textId="77777777" w:rsidR="00273888" w:rsidRPr="00B909EA" w:rsidRDefault="00B909EA" w:rsidP="00273888">
            <w:pPr>
              <w:jc w:val="center"/>
            </w:pPr>
            <w:hyperlink r:id="rId7" w:anchor="/document/97/510822/dfas8r49u6/" w:tgtFrame="_self" w:history="1">
              <w:r w:rsidR="00273888" w:rsidRPr="00B909EA">
                <w:rPr>
                  <w:u w:val="single"/>
                </w:rPr>
                <w:t>Пункт 1, подпункты «г», «ж» пункта 6</w:t>
              </w:r>
            </w:hyperlink>
            <w:r w:rsidR="00273888" w:rsidRPr="00B909EA">
              <w:rPr>
                <w:shd w:val="clear" w:color="auto" w:fill="FFFFFF"/>
              </w:rPr>
              <w:t> приложения № 2 к СГС «Учетная политика, оценочные значения и ошибки».</w:t>
            </w:r>
          </w:p>
        </w:tc>
      </w:tr>
      <w:tr w:rsidR="00B909EA" w:rsidRPr="00B909EA" w14:paraId="26CAF52C" w14:textId="77777777" w:rsidTr="00090E2A">
        <w:tc>
          <w:tcPr>
            <w:tcW w:w="2451" w:type="dxa"/>
          </w:tcPr>
          <w:p w14:paraId="46E5FCC6" w14:textId="77777777" w:rsidR="007D120B" w:rsidRPr="00B909EA" w:rsidRDefault="007D120B" w:rsidP="00273888">
            <w:pPr>
              <w:jc w:val="center"/>
            </w:pPr>
            <w:r w:rsidRPr="00B909EA">
              <w:rPr>
                <w:shd w:val="clear" w:color="auto" w:fill="FFFFFF"/>
              </w:rPr>
              <w:t>Порядок работы с сотрудниками, которые представляют первичные документы</w:t>
            </w:r>
          </w:p>
        </w:tc>
        <w:tc>
          <w:tcPr>
            <w:tcW w:w="1695" w:type="dxa"/>
          </w:tcPr>
          <w:p w14:paraId="001F0A81" w14:textId="77777777" w:rsidR="007D120B" w:rsidRPr="00B909EA" w:rsidRDefault="007D120B" w:rsidP="00273888">
            <w:pPr>
              <w:jc w:val="center"/>
            </w:pPr>
          </w:p>
        </w:tc>
        <w:tc>
          <w:tcPr>
            <w:tcW w:w="4638" w:type="dxa"/>
          </w:tcPr>
          <w:p w14:paraId="41E2B0C8" w14:textId="77777777" w:rsidR="007D120B" w:rsidRPr="00B909EA" w:rsidRDefault="007D120B" w:rsidP="007D120B">
            <w:r w:rsidRPr="00B909EA">
              <w:t>С графиком документооборота,</w:t>
            </w:r>
          </w:p>
          <w:p w14:paraId="30A4D228" w14:textId="77777777" w:rsidR="007D120B" w:rsidRPr="00B909EA" w:rsidRDefault="007D120B" w:rsidP="001D4C59">
            <w:pPr>
              <w:jc w:val="both"/>
            </w:pPr>
            <w:r w:rsidRPr="00B909EA">
              <w:t>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 форма которого утверждена в приложении к учетной политике.</w:t>
            </w:r>
          </w:p>
          <w:p w14:paraId="3E1F272B" w14:textId="77777777" w:rsidR="007D120B" w:rsidRPr="00B909EA" w:rsidRDefault="007D120B" w:rsidP="001D4C59">
            <w:pPr>
              <w:jc w:val="both"/>
            </w:pPr>
            <w:r w:rsidRPr="00B909EA">
              <w:t>В случае, если ответственный сотрудник не передал в бухгалтерию первичный документ в срок, установленный в графике,</w:t>
            </w:r>
          </w:p>
          <w:p w14:paraId="7B042C6E" w14:textId="0BB974F6" w:rsidR="007D120B" w:rsidRPr="00B909EA" w:rsidRDefault="007D120B" w:rsidP="00090E2A">
            <w:pPr>
              <w:rPr>
                <w:shd w:val="clear" w:color="auto" w:fill="FFFFFF"/>
              </w:rPr>
            </w:pPr>
            <w:r w:rsidRPr="00B909EA">
              <w:t xml:space="preserve"> главный бухгалтер уведомляет об этом сотрудника, руководителя его подразделения, а также руководителя учреждения. Для этого каждому из них главный бухгалтер направляет уведомление не позднее одного рабочего дня со дня истечения срока представления документа по графику. Форма уведомления утверждена в приложении </w:t>
            </w:r>
            <w:proofErr w:type="gramStart"/>
            <w:r w:rsidRPr="00B909EA">
              <w:t>к учете</w:t>
            </w:r>
            <w:proofErr w:type="gramEnd"/>
            <w:r w:rsidRPr="00B909EA">
              <w:t>.</w:t>
            </w:r>
          </w:p>
        </w:tc>
        <w:tc>
          <w:tcPr>
            <w:tcW w:w="6066" w:type="dxa"/>
          </w:tcPr>
          <w:p w14:paraId="6A296EDF" w14:textId="77777777" w:rsidR="007D120B" w:rsidRPr="00B909EA" w:rsidRDefault="007D120B" w:rsidP="007D120B">
            <w:r w:rsidRPr="00B909EA">
              <w:rPr>
                <w:shd w:val="clear" w:color="auto" w:fill="FFFFFF"/>
              </w:rPr>
              <w:t>Основание: </w:t>
            </w:r>
            <w:hyperlink r:id="rId8" w:history="1">
              <w:r w:rsidRPr="00B909EA">
                <w:rPr>
                  <w:u w:val="single"/>
                </w:rPr>
                <w:t>пункт 1</w:t>
              </w:r>
            </w:hyperlink>
            <w:r w:rsidRPr="00B909EA">
              <w:rPr>
                <w:shd w:val="clear" w:color="auto" w:fill="FFFFFF"/>
              </w:rPr>
              <w:t>, подпункты </w:t>
            </w:r>
            <w:hyperlink r:id="rId9" w:history="1">
              <w:r w:rsidRPr="00B909EA">
                <w:rPr>
                  <w:u w:val="single"/>
                </w:rPr>
                <w:t>«г»</w:t>
              </w:r>
            </w:hyperlink>
            <w:r w:rsidRPr="00B909EA">
              <w:rPr>
                <w:shd w:val="clear" w:color="auto" w:fill="FFFFFF"/>
              </w:rPr>
              <w:t>, </w:t>
            </w:r>
            <w:hyperlink r:id="rId10" w:history="1">
              <w:r w:rsidRPr="00B909EA">
                <w:rPr>
                  <w:u w:val="single"/>
                </w:rPr>
                <w:t>«ж»</w:t>
              </w:r>
            </w:hyperlink>
            <w:r w:rsidRPr="00B909EA">
              <w:rPr>
                <w:shd w:val="clear" w:color="auto" w:fill="FFFFFF"/>
              </w:rPr>
              <w:t> пункта 6 приложения № 2 к СГС «Учетная политика, оценочные значения и ошибки», </w:t>
            </w:r>
            <w:hyperlink r:id="rId11" w:history="1">
              <w:r w:rsidRPr="00B909EA">
                <w:rPr>
                  <w:u w:val="single"/>
                </w:rPr>
                <w:t>часть 3</w:t>
              </w:r>
            </w:hyperlink>
            <w:r w:rsidRPr="00B909EA">
              <w:rPr>
                <w:shd w:val="clear" w:color="auto" w:fill="FFFFFF"/>
              </w:rPr>
              <w:t> статьи 9 Закона № 402-ФЗ.</w:t>
            </w:r>
          </w:p>
          <w:p w14:paraId="528F450A" w14:textId="77777777" w:rsidR="007D120B" w:rsidRPr="00B909EA" w:rsidRDefault="007D120B" w:rsidP="007D120B">
            <w:r w:rsidRPr="00B909EA">
              <w:br/>
            </w:r>
            <w:r w:rsidRPr="00B909EA">
              <w:br/>
            </w:r>
          </w:p>
          <w:p w14:paraId="5D587D47" w14:textId="77777777" w:rsidR="007D120B" w:rsidRPr="00B909EA" w:rsidRDefault="007D120B" w:rsidP="00273888">
            <w:pPr>
              <w:jc w:val="center"/>
            </w:pPr>
          </w:p>
        </w:tc>
      </w:tr>
      <w:tr w:rsidR="00B909EA" w:rsidRPr="00B909EA" w14:paraId="0A2D24D6" w14:textId="77777777" w:rsidTr="00090E2A">
        <w:tc>
          <w:tcPr>
            <w:tcW w:w="2451" w:type="dxa"/>
          </w:tcPr>
          <w:p w14:paraId="532C4D6F" w14:textId="77777777" w:rsidR="00273888" w:rsidRPr="00B909EA" w:rsidRDefault="00273888" w:rsidP="00273888">
            <w:pPr>
              <w:jc w:val="center"/>
            </w:pPr>
            <w:r w:rsidRPr="00B909EA">
              <w:lastRenderedPageBreak/>
              <w:t>Порядок хранения электронных документов</w:t>
            </w:r>
          </w:p>
        </w:tc>
        <w:tc>
          <w:tcPr>
            <w:tcW w:w="1695" w:type="dxa"/>
          </w:tcPr>
          <w:p w14:paraId="65A37ADB" w14:textId="77777777" w:rsidR="00273888" w:rsidRPr="00B909EA" w:rsidRDefault="00273888" w:rsidP="00273888">
            <w:pPr>
              <w:jc w:val="center"/>
            </w:pPr>
          </w:p>
        </w:tc>
        <w:tc>
          <w:tcPr>
            <w:tcW w:w="4638" w:type="dxa"/>
          </w:tcPr>
          <w:p w14:paraId="4BAD141A" w14:textId="77777777" w:rsidR="00273888" w:rsidRPr="00B909EA" w:rsidRDefault="00273888" w:rsidP="00273888">
            <w:pPr>
              <w:jc w:val="center"/>
            </w:pPr>
            <w:r w:rsidRPr="00B909EA">
              <w:rPr>
                <w:shd w:val="clear" w:color="auto" w:fill="FFFFFF"/>
              </w:rPr>
              <w:t xml:space="preserve">Документы, составляемые в электронном виде, хранятся на сервере, </w:t>
            </w:r>
            <w:proofErr w:type="gramStart"/>
            <w:r w:rsidRPr="00B909EA">
              <w:rPr>
                <w:shd w:val="clear" w:color="auto" w:fill="FFFFFF"/>
              </w:rPr>
              <w:t>расположенном  в</w:t>
            </w:r>
            <w:proofErr w:type="gramEnd"/>
            <w:r w:rsidRPr="00B909EA">
              <w:rPr>
                <w:shd w:val="clear" w:color="auto" w:fill="FFFFFF"/>
              </w:rPr>
              <w:t xml:space="preserve"> кабинете специалиста по компьютерной технике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tc>
        <w:tc>
          <w:tcPr>
            <w:tcW w:w="6066" w:type="dxa"/>
          </w:tcPr>
          <w:p w14:paraId="49E8FC8A" w14:textId="77777777" w:rsidR="00273888" w:rsidRPr="00B909EA" w:rsidRDefault="00273888" w:rsidP="00273888">
            <w:pPr>
              <w:jc w:val="center"/>
            </w:pPr>
          </w:p>
        </w:tc>
      </w:tr>
      <w:tr w:rsidR="00B909EA" w:rsidRPr="00B909EA" w14:paraId="5398E8B0" w14:textId="77777777" w:rsidTr="00090E2A">
        <w:tc>
          <w:tcPr>
            <w:tcW w:w="2451" w:type="dxa"/>
          </w:tcPr>
          <w:p w14:paraId="00EACC09" w14:textId="77777777" w:rsidR="00273888" w:rsidRPr="00B909EA" w:rsidRDefault="00273888" w:rsidP="00273888">
            <w:pPr>
              <w:jc w:val="center"/>
              <w:rPr>
                <w:strike/>
              </w:rPr>
            </w:pPr>
            <w:r w:rsidRPr="00B909EA">
              <w:rPr>
                <w:strike/>
              </w:rPr>
              <w:t>Использование форм регистров бухучета</w:t>
            </w:r>
          </w:p>
        </w:tc>
        <w:tc>
          <w:tcPr>
            <w:tcW w:w="1695" w:type="dxa"/>
          </w:tcPr>
          <w:p w14:paraId="4AA221C7" w14:textId="77777777" w:rsidR="00273888" w:rsidRPr="00B909EA" w:rsidRDefault="00273888" w:rsidP="00273888">
            <w:pPr>
              <w:jc w:val="center"/>
              <w:rPr>
                <w:strike/>
              </w:rPr>
            </w:pPr>
          </w:p>
        </w:tc>
        <w:tc>
          <w:tcPr>
            <w:tcW w:w="4638" w:type="dxa"/>
          </w:tcPr>
          <w:p w14:paraId="48F6A516" w14:textId="77777777" w:rsidR="00273888" w:rsidRPr="00B909EA" w:rsidRDefault="00273888" w:rsidP="00273888">
            <w:pPr>
              <w:jc w:val="center"/>
              <w:rPr>
                <w:strike/>
              </w:rPr>
            </w:pPr>
            <w:r w:rsidRPr="00B909EA">
              <w:rPr>
                <w:strike/>
              </w:rPr>
              <w:t>Учреждение использует унифицированные формы регистров бухучета. При необходимости формы регистров, которые не унифицированы, разрабатываются самостоятельно.</w:t>
            </w:r>
          </w:p>
        </w:tc>
        <w:tc>
          <w:tcPr>
            <w:tcW w:w="6066" w:type="dxa"/>
          </w:tcPr>
          <w:p w14:paraId="39282179" w14:textId="77777777" w:rsidR="00273888" w:rsidRPr="00B909EA" w:rsidRDefault="00273888" w:rsidP="00273888">
            <w:pPr>
              <w:jc w:val="center"/>
              <w:rPr>
                <w:strike/>
              </w:rPr>
            </w:pPr>
            <w:r w:rsidRPr="00B909EA">
              <w:rPr>
                <w:strike/>
              </w:rPr>
              <w:t>Пункт 11 Инструкции к Единому плану счетов № 157н, подпункт «г» пункта 9 СГС «Учетная политика, оценочные значения и ошибки».</w:t>
            </w:r>
          </w:p>
        </w:tc>
      </w:tr>
      <w:tr w:rsidR="00B909EA" w:rsidRPr="00B909EA" w14:paraId="6A6612BF" w14:textId="77777777" w:rsidTr="00090E2A">
        <w:tc>
          <w:tcPr>
            <w:tcW w:w="2451" w:type="dxa"/>
          </w:tcPr>
          <w:p w14:paraId="2C237796" w14:textId="77777777" w:rsidR="00273888" w:rsidRPr="00B909EA" w:rsidRDefault="00273888" w:rsidP="00273888">
            <w:pPr>
              <w:jc w:val="center"/>
            </w:pPr>
            <w:r w:rsidRPr="00B909EA">
              <w:t>Периодичность формирования электронных регистров бухучета</w:t>
            </w:r>
          </w:p>
        </w:tc>
        <w:tc>
          <w:tcPr>
            <w:tcW w:w="1695" w:type="dxa"/>
          </w:tcPr>
          <w:p w14:paraId="67AF928D" w14:textId="77777777" w:rsidR="00273888" w:rsidRPr="00B909EA" w:rsidRDefault="00273888" w:rsidP="00273888">
            <w:pPr>
              <w:jc w:val="center"/>
            </w:pPr>
          </w:p>
        </w:tc>
        <w:tc>
          <w:tcPr>
            <w:tcW w:w="4638" w:type="dxa"/>
          </w:tcPr>
          <w:p w14:paraId="55961BFD"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Формирование электронных регистров бухучета осуществляется в следующем порядке:</w:t>
            </w:r>
          </w:p>
          <w:p w14:paraId="7ABCA0E8"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 xml:space="preserve">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w:t>
            </w:r>
            <w:r w:rsidRPr="00B909EA">
              <w:br/>
              <w:t>документа);</w:t>
            </w:r>
          </w:p>
          <w:p w14:paraId="3175E8FB"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 xml:space="preserve">- журнал </w:t>
            </w:r>
            <w:proofErr w:type="gramStart"/>
            <w:r w:rsidRPr="00B909EA">
              <w:t>операций(</w:t>
            </w:r>
            <w:proofErr w:type="gramEnd"/>
            <w:r w:rsidRPr="00B909EA">
              <w:t>ф.0509213) по всем забалансовым счетам формируется ежемесячно, в последний рабочий день месяца;</w:t>
            </w:r>
          </w:p>
          <w:p w14:paraId="1377B30A"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 xml:space="preserve">– журнал регистрации приходных и расходных ордеров составляется ежемесячно, </w:t>
            </w:r>
            <w:proofErr w:type="gramStart"/>
            <w:r w:rsidRPr="00B909EA">
              <w:t>в  последний</w:t>
            </w:r>
            <w:proofErr w:type="gramEnd"/>
            <w:r w:rsidRPr="00B909EA">
              <w:t xml:space="preserve"> рабочий день месяца;</w:t>
            </w:r>
          </w:p>
          <w:p w14:paraId="721C2F8A" w14:textId="77777777" w:rsidR="00273888" w:rsidRPr="00B909EA" w:rsidRDefault="00273888" w:rsidP="00273888">
            <w:pPr>
              <w:jc w:val="both"/>
            </w:pPr>
            <w:r w:rsidRPr="00B909EA">
              <w:t>-</w:t>
            </w:r>
            <w:r w:rsidRPr="00B909EA">
              <w:rPr>
                <w:shd w:val="clear" w:color="auto" w:fill="FFFFFF"/>
              </w:rPr>
              <w:t xml:space="preserve"> приходные и расходные кассовые ордера со статусом «подписан» аннулируются, </w:t>
            </w:r>
            <w:r w:rsidRPr="00B909EA">
              <w:rPr>
                <w:shd w:val="clear" w:color="auto" w:fill="FFFFFF"/>
              </w:rPr>
              <w:lastRenderedPageBreak/>
              <w:t>если кассовая операция не проведена в течение </w:t>
            </w:r>
            <w:r w:rsidRPr="00B909EA">
              <w:rPr>
                <w:i/>
                <w:iCs/>
                <w:shd w:val="clear" w:color="auto" w:fill="FFFFCC"/>
              </w:rPr>
              <w:t>двух </w:t>
            </w:r>
            <w:r w:rsidRPr="00B909EA">
              <w:rPr>
                <w:shd w:val="clear" w:color="auto" w:fill="FFFFFF"/>
              </w:rPr>
              <w:t>рабочих дней, включая день оформления ордера;</w:t>
            </w:r>
          </w:p>
          <w:p w14:paraId="3E58C814"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 xml:space="preserve">– инвентарная карточка учета основных средств оформляется при </w:t>
            </w:r>
            <w:proofErr w:type="gramStart"/>
            <w:r w:rsidRPr="00B909EA">
              <w:t>принятии  объекта</w:t>
            </w:r>
            <w:proofErr w:type="gramEnd"/>
            <w:r w:rsidRPr="00B909EA">
              <w:t xml:space="preserve"> к  учету, по мере внесения изменений (данных о переоценке, модернизации, </w:t>
            </w:r>
            <w:r w:rsidRPr="00B909EA">
              <w:br/>
              <w:t xml:space="preserve">реконструкции, консервации и пр.) и при выбытии. При отсутствии указанных событий – ежегодно, на последний рабочий день года, со сведениями о начисленной </w:t>
            </w:r>
            <w:r w:rsidRPr="00B909EA">
              <w:br/>
              <w:t>амортизации;</w:t>
            </w:r>
            <w:r w:rsidRPr="00B909EA">
              <w:b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14:paraId="6F008659"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 xml:space="preserve">– опись инвентарных карточек по учету основных средств, инвентарный список </w:t>
            </w:r>
            <w:r w:rsidRPr="00B909EA">
              <w:br/>
              <w:t>основных средств, реестр карточек заполняются ежегодно, в последний день года;</w:t>
            </w:r>
            <w:r w:rsidRPr="00B909EA">
              <w:br/>
              <w:t>– 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p>
          <w:p w14:paraId="022EF16F"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 авансовые отчеты брошюруются в хронологическом порядке в последний день отчетного месяца;</w:t>
            </w:r>
          </w:p>
          <w:p w14:paraId="5DF0CE6B"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lastRenderedPageBreak/>
              <w:t>– журналы операций, главная книга заполняются ежемесячно;</w:t>
            </w:r>
          </w:p>
          <w:p w14:paraId="7A2BC752"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 другие регистры, не указанные выше, заполняются по мере необходимости, если иное не установлено законодательством РФ.</w:t>
            </w:r>
          </w:p>
        </w:tc>
        <w:tc>
          <w:tcPr>
            <w:tcW w:w="6066" w:type="dxa"/>
          </w:tcPr>
          <w:p w14:paraId="7C8A8D92" w14:textId="77777777" w:rsidR="00273888" w:rsidRPr="00B909EA" w:rsidRDefault="00B909EA" w:rsidP="00273888">
            <w:pPr>
              <w:jc w:val="both"/>
            </w:pPr>
            <w:hyperlink r:id="rId12" w:history="1">
              <w:r w:rsidR="001D4C59" w:rsidRPr="00B909EA">
                <w:t>Методические указания</w:t>
              </w:r>
            </w:hyperlink>
            <w:r w:rsidR="001D4C59" w:rsidRPr="00B909EA">
              <w:rPr>
                <w:shd w:val="clear" w:color="auto" w:fill="FFFFFF"/>
              </w:rPr>
              <w:t>, утвержденные </w:t>
            </w:r>
            <w:hyperlink r:id="rId13" w:history="1">
              <w:r w:rsidR="001D4C59" w:rsidRPr="00B909EA">
                <w:t>приказом Минфина от 30.03.2015 № 52н</w:t>
              </w:r>
            </w:hyperlink>
            <w:r w:rsidR="001D4C59" w:rsidRPr="00B909EA">
              <w:rPr>
                <w:shd w:val="clear" w:color="auto" w:fill="FFFFFF"/>
              </w:rPr>
              <w:t>.</w:t>
            </w:r>
          </w:p>
        </w:tc>
      </w:tr>
      <w:tr w:rsidR="00B909EA" w:rsidRPr="00B909EA" w14:paraId="2BFD5D00" w14:textId="77777777" w:rsidTr="00090E2A">
        <w:tc>
          <w:tcPr>
            <w:tcW w:w="2451" w:type="dxa"/>
          </w:tcPr>
          <w:p w14:paraId="68EA1B33" w14:textId="77777777" w:rsidR="00273888" w:rsidRPr="00B909EA" w:rsidRDefault="00273888" w:rsidP="00273888">
            <w:pPr>
              <w:jc w:val="center"/>
            </w:pPr>
            <w:r w:rsidRPr="00B909EA">
              <w:lastRenderedPageBreak/>
              <w:t>Периодичность формирования журналов операций</w:t>
            </w:r>
          </w:p>
        </w:tc>
        <w:tc>
          <w:tcPr>
            <w:tcW w:w="1695" w:type="dxa"/>
          </w:tcPr>
          <w:p w14:paraId="7822705B" w14:textId="77777777" w:rsidR="00273888" w:rsidRPr="00B909EA" w:rsidRDefault="00273888" w:rsidP="00273888">
            <w:pPr>
              <w:jc w:val="center"/>
            </w:pPr>
          </w:p>
        </w:tc>
        <w:tc>
          <w:tcPr>
            <w:tcW w:w="4638" w:type="dxa"/>
          </w:tcPr>
          <w:p w14:paraId="5C3D446C" w14:textId="77777777" w:rsidR="00273888" w:rsidRPr="00B909EA" w:rsidRDefault="00273888" w:rsidP="00273888">
            <w:pPr>
              <w:jc w:val="center"/>
            </w:pPr>
            <w:r w:rsidRPr="00B909EA">
              <w:rPr>
                <w:shd w:val="clear" w:color="auto" w:fill="FFFFFF"/>
              </w:rPr>
              <w:t xml:space="preserve">Журналы операций (ф. 0504071) ведутся раздельно по кодам финансового обеспечения. Журналы формируются </w:t>
            </w:r>
            <w:r w:rsidRPr="00B909EA">
              <w:rPr>
                <w:i/>
                <w:iCs/>
                <w:shd w:val="clear" w:color="auto" w:fill="FFFFCC"/>
              </w:rPr>
              <w:t>ежемесячно в последний день месяца</w:t>
            </w:r>
            <w:r w:rsidRPr="00B909EA">
              <w:rPr>
                <w:shd w:val="clear" w:color="auto" w:fill="FFFFFF"/>
              </w:rPr>
              <w:t xml:space="preserve">. К журналам прилагаются первичные учетные документы </w:t>
            </w:r>
            <w:proofErr w:type="gramStart"/>
            <w:r w:rsidRPr="00B909EA">
              <w:rPr>
                <w:shd w:val="clear" w:color="auto" w:fill="FFFFFF"/>
              </w:rPr>
              <w:t>согласно приложения</w:t>
            </w:r>
            <w:proofErr w:type="gramEnd"/>
          </w:p>
        </w:tc>
        <w:tc>
          <w:tcPr>
            <w:tcW w:w="6066" w:type="dxa"/>
          </w:tcPr>
          <w:p w14:paraId="3576DCB2" w14:textId="77777777" w:rsidR="00273888" w:rsidRPr="00B909EA" w:rsidRDefault="00B909EA" w:rsidP="00273888">
            <w:pPr>
              <w:jc w:val="both"/>
            </w:pPr>
            <w:hyperlink r:id="rId14" w:history="1">
              <w:r w:rsidR="00F7373F" w:rsidRPr="00B909EA">
                <w:t>Методические указания</w:t>
              </w:r>
            </w:hyperlink>
            <w:r w:rsidR="00F7373F" w:rsidRPr="00B909EA">
              <w:rPr>
                <w:shd w:val="clear" w:color="auto" w:fill="FFFFFF"/>
              </w:rPr>
              <w:t>, утвержденные </w:t>
            </w:r>
            <w:hyperlink r:id="rId15" w:history="1">
              <w:r w:rsidR="00F7373F" w:rsidRPr="00B909EA">
                <w:t>приказом Минфина от 30.03.2015 № 52н</w:t>
              </w:r>
            </w:hyperlink>
            <w:r w:rsidR="00F7373F" w:rsidRPr="00B909EA">
              <w:rPr>
                <w:shd w:val="clear" w:color="auto" w:fill="FFFFFF"/>
              </w:rPr>
              <w:t>.</w:t>
            </w:r>
          </w:p>
        </w:tc>
      </w:tr>
      <w:tr w:rsidR="00B909EA" w:rsidRPr="00B909EA" w14:paraId="3C4EEBFC" w14:textId="77777777" w:rsidTr="00090E2A">
        <w:tc>
          <w:tcPr>
            <w:tcW w:w="2451" w:type="dxa"/>
          </w:tcPr>
          <w:p w14:paraId="31E595A7" w14:textId="77777777" w:rsidR="00273888" w:rsidRPr="00B909EA" w:rsidRDefault="00273888" w:rsidP="00273888">
            <w:pPr>
              <w:jc w:val="center"/>
            </w:pPr>
            <w:r w:rsidRPr="00B909EA">
              <w:t xml:space="preserve">Периодичность и способ хранения первичных </w:t>
            </w:r>
            <w:proofErr w:type="gramStart"/>
            <w:r w:rsidRPr="00B909EA">
              <w:t>и  сводных</w:t>
            </w:r>
            <w:proofErr w:type="gramEnd"/>
            <w:r w:rsidRPr="00B909EA">
              <w:t xml:space="preserve"> учетных документов, бухгалтерских регистров </w:t>
            </w:r>
          </w:p>
        </w:tc>
        <w:tc>
          <w:tcPr>
            <w:tcW w:w="1695" w:type="dxa"/>
          </w:tcPr>
          <w:p w14:paraId="4FAAFA8A" w14:textId="77777777" w:rsidR="00273888" w:rsidRPr="00B909EA" w:rsidRDefault="00273888" w:rsidP="00273888">
            <w:pPr>
              <w:jc w:val="center"/>
            </w:pPr>
          </w:p>
        </w:tc>
        <w:tc>
          <w:tcPr>
            <w:tcW w:w="4638" w:type="dxa"/>
          </w:tcPr>
          <w:p w14:paraId="6D5A55EC" w14:textId="77777777" w:rsidR="009A18A5" w:rsidRPr="00B909EA" w:rsidRDefault="009A18A5" w:rsidP="009A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909EA">
              <w:t xml:space="preserve"> 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в электронном виде, по причине отсутствия компьютеров, программных средств или интернета в структурных подразделениях, он может быть составлен:</w:t>
            </w:r>
          </w:p>
          <w:p w14:paraId="3D9F3E1D" w14:textId="77777777" w:rsidR="009A18A5" w:rsidRPr="00B909EA" w:rsidRDefault="009A18A5" w:rsidP="009A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909EA">
              <w:t>-на бумажном носителе и заверен собственноручной подписью;</w:t>
            </w:r>
          </w:p>
          <w:p w14:paraId="211EB049" w14:textId="77777777" w:rsidR="009A18A5" w:rsidRPr="00B909EA" w:rsidRDefault="009A18A5" w:rsidP="009A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909EA">
              <w:t>- 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Далее документ распечатывается и собственноручно подписывается на бумажном носителе.</w:t>
            </w:r>
          </w:p>
          <w:p w14:paraId="315D9A84" w14:textId="77777777" w:rsidR="00273888" w:rsidRPr="00B909EA" w:rsidRDefault="009A18A5" w:rsidP="009A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909EA">
              <w:lastRenderedPageBreak/>
              <w:t>Список сотрудников, имеющих право подписи электронных документов и регистров бухучета, утверждается отдельным приказом руководителя.</w:t>
            </w:r>
          </w:p>
        </w:tc>
        <w:tc>
          <w:tcPr>
            <w:tcW w:w="6066" w:type="dxa"/>
          </w:tcPr>
          <w:p w14:paraId="6EFD840E" w14:textId="77777777" w:rsidR="00273888" w:rsidRPr="00B909EA" w:rsidRDefault="00273888" w:rsidP="00273888">
            <w:pPr>
              <w:jc w:val="both"/>
              <w:rPr>
                <w:shd w:val="clear" w:color="auto" w:fill="FFFFFF"/>
              </w:rPr>
            </w:pPr>
            <w:r w:rsidRPr="00B909EA">
              <w:lastRenderedPageBreak/>
              <w:t>Ч</w:t>
            </w:r>
            <w:hyperlink r:id="rId16" w:anchor="/document/99/902316088/XA00M502MN/" w:tooltip="5. Первичный учетный документ составляется на бумажном носителе и (или) в виде электронного документа, подписанного электронной подписью." w:history="1">
              <w:r w:rsidRPr="00B909EA">
                <w:t>асть 5</w:t>
              </w:r>
            </w:hyperlink>
            <w:r w:rsidRPr="00B909EA">
              <w:rPr>
                <w:shd w:val="clear" w:color="auto" w:fill="FFFFFF"/>
              </w:rPr>
              <w:t> статьи 9 Закона от 06.12.2011 № 402-ФЗ, </w:t>
            </w:r>
            <w:r w:rsidR="00F7373F" w:rsidRPr="00B909EA">
              <w:rPr>
                <w:shd w:val="clear" w:color="auto" w:fill="FFFFFF"/>
              </w:rPr>
              <w:t>пункт 33 СГС «Концептуальные основы бухучета и отчетности».</w:t>
            </w:r>
            <w:r w:rsidRPr="00B909EA">
              <w:rPr>
                <w:shd w:val="clear" w:color="auto" w:fill="FFFFFF"/>
              </w:rPr>
              <w:t>, </w:t>
            </w:r>
            <w:hyperlink r:id="rId17" w:anchor="/document/99/420388973/XA00MCC2NQ/" w:tooltip="32. Первичные (сводные) учетные документы, регистры бухгалтерского учета составляются в форме электронного документа, подписанного квалифицированной электронной подписью, или на бумажном носителе в случае отсутствия возможности..." w:history="1">
              <w:r w:rsidRPr="00B909EA">
                <w:t>пункт 32</w:t>
              </w:r>
            </w:hyperlink>
            <w:r w:rsidRPr="00B909EA">
              <w:rPr>
                <w:shd w:val="clear" w:color="auto" w:fill="FFFFFF"/>
              </w:rPr>
              <w:t> СГС «Концептуальные основы бухучета и </w:t>
            </w:r>
            <w:r w:rsidRPr="00B909EA">
              <w:br/>
            </w:r>
            <w:r w:rsidRPr="00B909EA">
              <w:rPr>
                <w:shd w:val="clear" w:color="auto" w:fill="FFFFFF"/>
              </w:rPr>
              <w:t>отчетности», </w:t>
            </w:r>
            <w:hyperlink r:id="rId18" w:anchor="/document/99/420266549/ZAP2HUM3MT/" w:tooltip="Первичные учетные документы, регистры бухгалтерского учета составляются в форме электронного документа, подписанного квалифицированной электронной подписью (далее - электронный первичный учетный документ, электронный регистр,.." w:history="1">
              <w:r w:rsidRPr="00B909EA">
                <w:t>Методические указания</w:t>
              </w:r>
            </w:hyperlink>
            <w:r w:rsidRPr="00B909EA">
              <w:rPr>
                <w:shd w:val="clear" w:color="auto" w:fill="FFFFFF"/>
              </w:rPr>
              <w:t>, утвержденные </w:t>
            </w:r>
            <w:hyperlink r:id="rId19" w:anchor="/document/99/420266549/" w:history="1">
              <w:r w:rsidRPr="00B909EA">
                <w:t>приказом Минфина от30.03.2015 №  52н</w:t>
              </w:r>
            </w:hyperlink>
            <w:r w:rsidRPr="00B909EA">
              <w:rPr>
                <w:shd w:val="clear" w:color="auto" w:fill="FFFFFF"/>
              </w:rPr>
              <w:t>, </w:t>
            </w:r>
            <w:hyperlink r:id="rId20" w:anchor="/document/99/902271495/ZA00MKG2NN/" w:tooltip="Статья 2. Основные понятия, используемые в настоящем Федеральном законе" w:history="1">
              <w:r w:rsidRPr="00B909EA">
                <w:t>статья 2</w:t>
              </w:r>
            </w:hyperlink>
            <w:r w:rsidRPr="00B909EA">
              <w:rPr>
                <w:shd w:val="clear" w:color="auto" w:fill="FFFFFF"/>
              </w:rPr>
              <w:t> Закона от 06.04.2011 № 63-ФЗ.</w:t>
            </w:r>
          </w:p>
          <w:p w14:paraId="0EBFFF94" w14:textId="77777777" w:rsidR="0026544A" w:rsidRPr="00B909EA" w:rsidRDefault="0026544A" w:rsidP="00265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909EA">
              <w:t>Основание: пункты 10,12 приложения № 2 к СГС «Учетная политика, оценочные значения и ошибки».</w:t>
            </w:r>
          </w:p>
          <w:p w14:paraId="76BC9938" w14:textId="77777777" w:rsidR="0026544A" w:rsidRPr="00B909EA" w:rsidRDefault="0026544A" w:rsidP="00273888">
            <w:pPr>
              <w:jc w:val="both"/>
            </w:pPr>
          </w:p>
        </w:tc>
      </w:tr>
      <w:tr w:rsidR="00B909EA" w:rsidRPr="00B909EA" w14:paraId="3836A1DC" w14:textId="77777777" w:rsidTr="00090E2A">
        <w:tc>
          <w:tcPr>
            <w:tcW w:w="2451" w:type="dxa"/>
          </w:tcPr>
          <w:p w14:paraId="3ABFF917" w14:textId="77777777" w:rsidR="00273888" w:rsidRPr="00B909EA" w:rsidRDefault="00273888" w:rsidP="00273888">
            <w:pPr>
              <w:jc w:val="center"/>
            </w:pPr>
            <w:r w:rsidRPr="00B909EA">
              <w:t>Способ предоставления документов по запросу контролирующих органов</w:t>
            </w:r>
          </w:p>
        </w:tc>
        <w:tc>
          <w:tcPr>
            <w:tcW w:w="1695" w:type="dxa"/>
          </w:tcPr>
          <w:p w14:paraId="71C3B953" w14:textId="77777777" w:rsidR="00273888" w:rsidRPr="00B909EA" w:rsidRDefault="00273888" w:rsidP="00273888">
            <w:pPr>
              <w:jc w:val="center"/>
            </w:pPr>
          </w:p>
        </w:tc>
        <w:tc>
          <w:tcPr>
            <w:tcW w:w="4638" w:type="dxa"/>
          </w:tcPr>
          <w:p w14:paraId="7CA99A69" w14:textId="77777777" w:rsidR="00273888" w:rsidRPr="00B909EA" w:rsidRDefault="00273888" w:rsidP="00273888">
            <w:pPr>
              <w:spacing w:after="150"/>
              <w:jc w:val="center"/>
            </w:pPr>
            <w:r w:rsidRPr="00B909EA">
              <w:t>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14:paraId="1195B8B1" w14:textId="77777777" w:rsidR="00273888" w:rsidRPr="00B909EA" w:rsidRDefault="00273888" w:rsidP="00273888">
            <w:pPr>
              <w:spacing w:after="150"/>
              <w:jc w:val="center"/>
            </w:pPr>
            <w:r w:rsidRPr="00B909EA">
              <w:t xml:space="preserve">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w:t>
            </w:r>
            <w:proofErr w:type="spellStart"/>
            <w:proofErr w:type="gramStart"/>
            <w:r w:rsidRPr="00B909EA">
              <w:t>заверения.При</w:t>
            </w:r>
            <w:proofErr w:type="spellEnd"/>
            <w:proofErr w:type="gramEnd"/>
            <w:r w:rsidRPr="00B909EA">
              <w:t xml:space="preserve"> заверении многостраничного документа заверяется копия каждого листа.</w:t>
            </w:r>
          </w:p>
          <w:p w14:paraId="37DB0C3C" w14:textId="77777777" w:rsidR="00273888" w:rsidRPr="00B909EA" w:rsidRDefault="00273888" w:rsidP="00273888">
            <w:pPr>
              <w:jc w:val="center"/>
            </w:pPr>
            <w:r w:rsidRPr="00B909EA">
              <w:rPr>
                <w:shd w:val="clear" w:color="auto" w:fill="FFFFFF"/>
              </w:rPr>
              <w:t xml:space="preserve">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w:t>
            </w:r>
            <w:r w:rsidRPr="00B909EA">
              <w:rPr>
                <w:shd w:val="clear" w:color="auto" w:fill="FFFFFF"/>
              </w:rPr>
              <w:lastRenderedPageBreak/>
              <w:t>скреплен печатью (</w:t>
            </w:r>
            <w:r w:rsidRPr="00B909EA">
              <w:rPr>
                <w:rStyle w:val="fill"/>
                <w:i/>
                <w:iCs/>
                <w:shd w:val="clear" w:color="auto" w:fill="FFFFCC"/>
              </w:rPr>
              <w:t>Учреждения)</w:t>
            </w:r>
            <w:r w:rsidRPr="00B909EA">
              <w:rPr>
                <w:shd w:val="clear" w:color="auto" w:fill="FFFFFF"/>
              </w:rPr>
              <w:t xml:space="preserve"> Ведение и хранение журнала возлагается приказом руководителя на ответственного сотрудника </w:t>
            </w:r>
            <w:r w:rsidRPr="00B909EA">
              <w:rPr>
                <w:rStyle w:val="fill"/>
                <w:i/>
                <w:iCs/>
                <w:shd w:val="clear" w:color="auto" w:fill="FFFFCC"/>
              </w:rPr>
              <w:t>(Учреждения)</w:t>
            </w:r>
          </w:p>
        </w:tc>
        <w:tc>
          <w:tcPr>
            <w:tcW w:w="6066" w:type="dxa"/>
          </w:tcPr>
          <w:p w14:paraId="69711A88" w14:textId="772DDA28" w:rsidR="001D4C59" w:rsidRPr="00B909EA" w:rsidRDefault="00B909EA" w:rsidP="00090E2A">
            <w:pPr>
              <w:jc w:val="both"/>
            </w:pPr>
            <w:hyperlink r:id="rId21" w:history="1">
              <w:r w:rsidR="00090E2A" w:rsidRPr="00B909EA">
                <w:rPr>
                  <w:u w:val="single"/>
                </w:rPr>
                <w:t>Ч</w:t>
              </w:r>
              <w:r w:rsidR="001D4C59" w:rsidRPr="00B909EA">
                <w:rPr>
                  <w:u w:val="single"/>
                </w:rPr>
                <w:t>асть 5</w:t>
              </w:r>
            </w:hyperlink>
            <w:r w:rsidR="001D4C59" w:rsidRPr="00B909EA">
              <w:rPr>
                <w:shd w:val="clear" w:color="auto" w:fill="FFFFFF"/>
              </w:rPr>
              <w:t> статьи 9 Закона от 06.12.2011 № 402-ФЗ, </w:t>
            </w:r>
            <w:hyperlink r:id="rId22" w:history="1">
              <w:r w:rsidR="001D4C59" w:rsidRPr="00B909EA">
                <w:rPr>
                  <w:u w:val="single"/>
                </w:rPr>
                <w:t>пункт 32</w:t>
              </w:r>
            </w:hyperlink>
            <w:r w:rsidR="001D4C59" w:rsidRPr="00B909EA">
              <w:rPr>
                <w:shd w:val="clear" w:color="auto" w:fill="FFFFFF"/>
              </w:rPr>
              <w:t> СГС «Концептуальные основы бухучета и отчетности», </w:t>
            </w:r>
            <w:hyperlink r:id="rId23" w:history="1">
              <w:r w:rsidR="001D4C59" w:rsidRPr="00B909EA">
                <w:rPr>
                  <w:u w:val="single"/>
                </w:rPr>
                <w:t>Методические указания</w:t>
              </w:r>
            </w:hyperlink>
            <w:r w:rsidR="001D4C59" w:rsidRPr="00B909EA">
              <w:rPr>
                <w:shd w:val="clear" w:color="auto" w:fill="FFFFFF"/>
              </w:rPr>
              <w:t>, утвержденные </w:t>
            </w:r>
            <w:hyperlink r:id="rId24" w:history="1">
              <w:r w:rsidR="001D4C59" w:rsidRPr="00B909EA">
                <w:rPr>
                  <w:u w:val="single"/>
                </w:rPr>
                <w:t>приказом Минфина от 30.03.2015 № 52н</w:t>
              </w:r>
            </w:hyperlink>
            <w:r w:rsidR="001D4C59" w:rsidRPr="00B909EA">
              <w:rPr>
                <w:shd w:val="clear" w:color="auto" w:fill="FFFFFF"/>
              </w:rPr>
              <w:t>, </w:t>
            </w:r>
            <w:hyperlink r:id="rId25" w:history="1">
              <w:r w:rsidR="001D4C59" w:rsidRPr="00B909EA">
                <w:rPr>
                  <w:u w:val="single"/>
                </w:rPr>
                <w:t>статья 2</w:t>
              </w:r>
            </w:hyperlink>
            <w:r w:rsidR="001D4C59" w:rsidRPr="00B909EA">
              <w:rPr>
                <w:shd w:val="clear" w:color="auto" w:fill="FFFFFF"/>
              </w:rPr>
              <w:t> Закона от 06.04.2011 № 63-ФЗ.</w:t>
            </w:r>
          </w:p>
          <w:p w14:paraId="3313D136" w14:textId="77777777" w:rsidR="001D4C59" w:rsidRPr="00B909EA" w:rsidRDefault="001D4C59" w:rsidP="001D4C59">
            <w:r w:rsidRPr="00B909EA">
              <w:br/>
            </w:r>
            <w:r w:rsidRPr="00B909EA">
              <w:br/>
            </w:r>
          </w:p>
          <w:p w14:paraId="1A4DDD7C" w14:textId="77777777" w:rsidR="00273888" w:rsidRPr="00B909EA" w:rsidRDefault="00273888" w:rsidP="00273888"/>
        </w:tc>
      </w:tr>
      <w:tr w:rsidR="00B909EA" w:rsidRPr="00B909EA" w14:paraId="10E80FAB" w14:textId="77777777" w:rsidTr="00090E2A">
        <w:tc>
          <w:tcPr>
            <w:tcW w:w="2451" w:type="dxa"/>
          </w:tcPr>
          <w:p w14:paraId="22EC3729" w14:textId="77777777" w:rsidR="00273888" w:rsidRPr="00B909EA" w:rsidRDefault="00273888" w:rsidP="00273888">
            <w:pPr>
              <w:jc w:val="center"/>
            </w:pPr>
            <w:r w:rsidRPr="00B909EA">
              <w:t>Способ заверения бумажных копий</w:t>
            </w:r>
          </w:p>
        </w:tc>
        <w:tc>
          <w:tcPr>
            <w:tcW w:w="1695" w:type="dxa"/>
          </w:tcPr>
          <w:p w14:paraId="5B0CE93F" w14:textId="77777777" w:rsidR="00273888" w:rsidRPr="00B909EA" w:rsidRDefault="00273888" w:rsidP="00273888">
            <w:pPr>
              <w:jc w:val="center"/>
            </w:pPr>
          </w:p>
        </w:tc>
        <w:tc>
          <w:tcPr>
            <w:tcW w:w="4638" w:type="dxa"/>
          </w:tcPr>
          <w:p w14:paraId="195D0F6C" w14:textId="22DFC9C9" w:rsidR="00273888" w:rsidRPr="00B909EA" w:rsidRDefault="00273888" w:rsidP="00273888">
            <w:pPr>
              <w:jc w:val="center"/>
            </w:pPr>
            <w:r w:rsidRPr="00B909EA">
              <w:rPr>
                <w:shd w:val="clear" w:color="auto" w:fill="FFFFFF"/>
              </w:rPr>
              <w:t>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Pr="00B909EA">
              <w:rPr>
                <w:i/>
                <w:iCs/>
                <w:shd w:val="clear" w:color="auto" w:fill="FFFFCC"/>
              </w:rPr>
              <w:t>Учреждени</w:t>
            </w:r>
            <w:r w:rsidR="00090E2A" w:rsidRPr="00B909EA">
              <w:rPr>
                <w:i/>
                <w:iCs/>
                <w:shd w:val="clear" w:color="auto" w:fill="FFFFCC"/>
              </w:rPr>
              <w:t>я</w:t>
            </w:r>
            <w:r w:rsidRPr="00B909EA">
              <w:rPr>
                <w:shd w:val="clear" w:color="auto" w:fill="FFFFFF"/>
              </w:rPr>
              <w:t xml:space="preserve"> – с указанием сведений о сертификате электронной подписи – 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tc>
        <w:tc>
          <w:tcPr>
            <w:tcW w:w="6066" w:type="dxa"/>
          </w:tcPr>
          <w:p w14:paraId="22256D8A" w14:textId="62F12620" w:rsidR="00273888" w:rsidRPr="00B909EA" w:rsidRDefault="00273888" w:rsidP="00273888">
            <w:pPr>
              <w:jc w:val="center"/>
            </w:pPr>
            <w:r w:rsidRPr="00B909EA">
              <w:br/>
            </w:r>
            <w:r w:rsidR="00090E2A" w:rsidRPr="00B909EA">
              <w:rPr>
                <w:shd w:val="clear" w:color="auto" w:fill="FFFFFF"/>
              </w:rPr>
              <w:t>П</w:t>
            </w:r>
            <w:r w:rsidR="001D4C59" w:rsidRPr="00B909EA">
              <w:rPr>
                <w:shd w:val="clear" w:color="auto" w:fill="FFFFFF"/>
              </w:rPr>
              <w:t>ункт 33 СГС «Концептуальные основы бухучета и отчетности».</w:t>
            </w:r>
            <w:r w:rsidRPr="00B909EA">
              <w:rPr>
                <w:shd w:val="clear" w:color="auto" w:fill="FFFFFF"/>
              </w:rPr>
              <w:t>»</w:t>
            </w:r>
          </w:p>
        </w:tc>
      </w:tr>
      <w:tr w:rsidR="00B909EA" w:rsidRPr="00B909EA" w14:paraId="4A73D802" w14:textId="77777777" w:rsidTr="00090E2A">
        <w:tc>
          <w:tcPr>
            <w:tcW w:w="2451" w:type="dxa"/>
          </w:tcPr>
          <w:p w14:paraId="31ADC001" w14:textId="77777777" w:rsidR="00273888" w:rsidRPr="00B909EA" w:rsidRDefault="00273888" w:rsidP="00273888">
            <w:pPr>
              <w:jc w:val="center"/>
            </w:pPr>
            <w:r w:rsidRPr="00B909EA">
              <w:t>Учет бланков строгой отчетности</w:t>
            </w:r>
          </w:p>
        </w:tc>
        <w:tc>
          <w:tcPr>
            <w:tcW w:w="1695" w:type="dxa"/>
          </w:tcPr>
          <w:p w14:paraId="71ABB8A2" w14:textId="77777777" w:rsidR="00273888" w:rsidRPr="00B909EA" w:rsidRDefault="00273888" w:rsidP="00273888">
            <w:pPr>
              <w:jc w:val="center"/>
            </w:pPr>
            <w:r w:rsidRPr="00B909EA">
              <w:t>0.03.00</w:t>
            </w:r>
          </w:p>
        </w:tc>
        <w:tc>
          <w:tcPr>
            <w:tcW w:w="4638" w:type="dxa"/>
          </w:tcPr>
          <w:p w14:paraId="63D7099F" w14:textId="77777777" w:rsidR="00273888" w:rsidRPr="00B909EA" w:rsidRDefault="00273888" w:rsidP="00273888">
            <w:pPr>
              <w:jc w:val="center"/>
            </w:pPr>
            <w:r w:rsidRPr="00B909EA">
              <w:t>Учет бланков строгой отчетности ведется по стоимости их приобретения</w:t>
            </w:r>
          </w:p>
        </w:tc>
        <w:tc>
          <w:tcPr>
            <w:tcW w:w="6066" w:type="dxa"/>
          </w:tcPr>
          <w:p w14:paraId="4B9912D2" w14:textId="77777777" w:rsidR="00273888" w:rsidRPr="00B909EA" w:rsidRDefault="00B909EA" w:rsidP="00F7373F">
            <w:pPr>
              <w:jc w:val="center"/>
            </w:pPr>
            <w:hyperlink r:id="rId26" w:history="1">
              <w:r w:rsidR="00F7373F" w:rsidRPr="00B909EA">
                <w:t>Пункт 225</w:t>
              </w:r>
            </w:hyperlink>
            <w:r w:rsidR="00F7373F" w:rsidRPr="00B909EA">
              <w:rPr>
                <w:shd w:val="clear" w:color="auto" w:fill="FFFFFF"/>
              </w:rPr>
              <w:t> СГС «Единый план счетов» № 121н.</w:t>
            </w:r>
          </w:p>
        </w:tc>
      </w:tr>
      <w:tr w:rsidR="00B909EA" w:rsidRPr="00B909EA" w14:paraId="5F25CEAB" w14:textId="77777777" w:rsidTr="00090E2A">
        <w:tc>
          <w:tcPr>
            <w:tcW w:w="2451" w:type="dxa"/>
          </w:tcPr>
          <w:p w14:paraId="4BAE0EF9" w14:textId="77777777" w:rsidR="00C05675" w:rsidRPr="00B909EA" w:rsidRDefault="00C05675" w:rsidP="00273888">
            <w:pPr>
              <w:jc w:val="center"/>
            </w:pPr>
            <w:r w:rsidRPr="00B909EA">
              <w:t>Способ начисления амортизации</w:t>
            </w:r>
          </w:p>
        </w:tc>
        <w:tc>
          <w:tcPr>
            <w:tcW w:w="1695" w:type="dxa"/>
          </w:tcPr>
          <w:p w14:paraId="6F814457" w14:textId="77777777" w:rsidR="00C05675" w:rsidRPr="00B909EA" w:rsidRDefault="00C05675" w:rsidP="00273888">
            <w:pPr>
              <w:jc w:val="center"/>
            </w:pPr>
            <w:r w:rsidRPr="00B909EA">
              <w:t>1.104.00</w:t>
            </w:r>
          </w:p>
        </w:tc>
        <w:tc>
          <w:tcPr>
            <w:tcW w:w="4638" w:type="dxa"/>
          </w:tcPr>
          <w:p w14:paraId="4D27AE4C" w14:textId="77777777" w:rsidR="00C05675" w:rsidRPr="00B909EA" w:rsidRDefault="00C05675" w:rsidP="00090E2A">
            <w:pPr>
              <w:jc w:val="center"/>
            </w:pPr>
            <w:r w:rsidRPr="00B909EA">
              <w:rPr>
                <w:shd w:val="clear" w:color="auto" w:fill="FFFFFF"/>
              </w:rPr>
              <w:t>Амортизация на нефинансовые активы начисляется в </w:t>
            </w:r>
            <w:r w:rsidRPr="00B909EA">
              <w:t>последний</w:t>
            </w:r>
            <w:r w:rsidRPr="00B909EA">
              <w:rPr>
                <w:shd w:val="clear" w:color="auto" w:fill="FFFFFF"/>
              </w:rPr>
              <w:t xml:space="preserve"> день месяца. </w:t>
            </w:r>
            <w:r w:rsidRPr="00B909EA">
              <w:br/>
            </w:r>
          </w:p>
          <w:p w14:paraId="06567AA5" w14:textId="77777777" w:rsidR="00C05675" w:rsidRPr="00B909EA" w:rsidRDefault="00C05675" w:rsidP="00273888">
            <w:pPr>
              <w:jc w:val="center"/>
            </w:pPr>
          </w:p>
        </w:tc>
        <w:tc>
          <w:tcPr>
            <w:tcW w:w="6066" w:type="dxa"/>
          </w:tcPr>
          <w:p w14:paraId="3EABC809" w14:textId="77777777" w:rsidR="00C05675" w:rsidRPr="00B909EA" w:rsidRDefault="00B909EA" w:rsidP="00C05675">
            <w:pPr>
              <w:jc w:val="center"/>
              <w:rPr>
                <w:shd w:val="clear" w:color="auto" w:fill="FFFFFF"/>
              </w:rPr>
            </w:pPr>
            <w:hyperlink r:id="rId27" w:history="1">
              <w:r w:rsidR="00C05675" w:rsidRPr="00B909EA">
                <w:rPr>
                  <w:u w:val="single"/>
                </w:rPr>
                <w:t>Пункт 33</w:t>
              </w:r>
            </w:hyperlink>
            <w:r w:rsidR="00C05675" w:rsidRPr="00B909EA">
              <w:rPr>
                <w:shd w:val="clear" w:color="auto" w:fill="FFFFFF"/>
              </w:rPr>
              <w:t> СГС «Основные средства»,</w:t>
            </w:r>
          </w:p>
        </w:tc>
      </w:tr>
      <w:tr w:rsidR="00B909EA" w:rsidRPr="00B909EA" w14:paraId="53B5B7C0" w14:textId="77777777" w:rsidTr="00090E2A">
        <w:tc>
          <w:tcPr>
            <w:tcW w:w="2451" w:type="dxa"/>
          </w:tcPr>
          <w:p w14:paraId="48766850" w14:textId="77777777" w:rsidR="00C05675" w:rsidRPr="00B909EA" w:rsidRDefault="00C05675" w:rsidP="00273888">
            <w:pPr>
              <w:jc w:val="center"/>
            </w:pPr>
            <w:r w:rsidRPr="00B909EA">
              <w:t>Нанесение инвентарного номера</w:t>
            </w:r>
          </w:p>
        </w:tc>
        <w:tc>
          <w:tcPr>
            <w:tcW w:w="1695" w:type="dxa"/>
          </w:tcPr>
          <w:p w14:paraId="018C9803" w14:textId="77777777" w:rsidR="00C05675" w:rsidRPr="00B909EA" w:rsidRDefault="00C05675" w:rsidP="00273888">
            <w:pPr>
              <w:jc w:val="center"/>
            </w:pPr>
          </w:p>
        </w:tc>
        <w:tc>
          <w:tcPr>
            <w:tcW w:w="4638" w:type="dxa"/>
          </w:tcPr>
          <w:p w14:paraId="09B0617E" w14:textId="77777777" w:rsidR="00C05675" w:rsidRPr="00B909EA" w:rsidRDefault="00C05675" w:rsidP="00C05675">
            <w:pPr>
              <w:jc w:val="both"/>
            </w:pPr>
            <w:r w:rsidRPr="00B909EA">
              <w:t>Присвоенный объекту инвентарный номер обозначается лицом, ответственным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w:t>
            </w:r>
          </w:p>
          <w:p w14:paraId="4E98CD4E" w14:textId="77777777" w:rsidR="00C05675" w:rsidRPr="00B909EA" w:rsidRDefault="00C05675" w:rsidP="00C05675">
            <w:pPr>
              <w:jc w:val="both"/>
            </w:pPr>
            <w:r w:rsidRPr="00B909EA">
              <w:lastRenderedPageBreak/>
              <w:t>путем нанесения номера на инвентарный объект краской или водостойким маркером или иным способом, обеспечивающим сохранность маркировки.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14:paraId="570906F5" w14:textId="77777777" w:rsidR="00C05675" w:rsidRPr="00B909EA" w:rsidRDefault="00C05675" w:rsidP="00C05675">
            <w:pPr>
              <w:jc w:val="both"/>
            </w:pPr>
            <w:r w:rsidRPr="00B909EA">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tc>
        <w:tc>
          <w:tcPr>
            <w:tcW w:w="6066" w:type="dxa"/>
          </w:tcPr>
          <w:p w14:paraId="105CD074" w14:textId="77777777" w:rsidR="00C05675" w:rsidRPr="00B909EA" w:rsidRDefault="005B531E" w:rsidP="00273888">
            <w:pPr>
              <w:jc w:val="center"/>
              <w:rPr>
                <w:shd w:val="clear" w:color="auto" w:fill="FFFFFF"/>
              </w:rPr>
            </w:pPr>
            <w:r w:rsidRPr="00B909EA">
              <w:rPr>
                <w:shd w:val="clear" w:color="auto" w:fill="FFFFFF"/>
              </w:rPr>
              <w:lastRenderedPageBreak/>
              <w:t xml:space="preserve">Пункт 9 </w:t>
            </w:r>
            <w:r w:rsidR="00C05675" w:rsidRPr="00B909EA">
              <w:rPr>
                <w:shd w:val="clear" w:color="auto" w:fill="FFFFFF"/>
              </w:rPr>
              <w:t>СГС «Основные средства».</w:t>
            </w:r>
          </w:p>
        </w:tc>
      </w:tr>
      <w:tr w:rsidR="00B909EA" w:rsidRPr="00B909EA" w14:paraId="507BF987" w14:textId="77777777" w:rsidTr="00090E2A">
        <w:tc>
          <w:tcPr>
            <w:tcW w:w="2451" w:type="dxa"/>
          </w:tcPr>
          <w:p w14:paraId="7D5710C5" w14:textId="77777777" w:rsidR="00273888" w:rsidRPr="00B909EA" w:rsidRDefault="00273888" w:rsidP="00273888">
            <w:pPr>
              <w:jc w:val="center"/>
            </w:pPr>
            <w:r w:rsidRPr="00B909EA">
              <w:t>Метод начисления амортизации основных средств</w:t>
            </w:r>
          </w:p>
        </w:tc>
        <w:tc>
          <w:tcPr>
            <w:tcW w:w="1695" w:type="dxa"/>
          </w:tcPr>
          <w:p w14:paraId="102B5579" w14:textId="77777777" w:rsidR="00273888" w:rsidRPr="00B909EA" w:rsidRDefault="00273888" w:rsidP="00273888">
            <w:pPr>
              <w:jc w:val="center"/>
            </w:pPr>
            <w:r w:rsidRPr="00B909EA">
              <w:t>1.104.00</w:t>
            </w:r>
          </w:p>
        </w:tc>
        <w:tc>
          <w:tcPr>
            <w:tcW w:w="4638" w:type="dxa"/>
          </w:tcPr>
          <w:p w14:paraId="697AB8D4" w14:textId="77777777" w:rsidR="00273888" w:rsidRPr="00B909EA" w:rsidRDefault="00273888" w:rsidP="00273888">
            <w:pPr>
              <w:jc w:val="center"/>
            </w:pPr>
            <w:r w:rsidRPr="00B909EA">
              <w:t>Начисление амортизации осуществляется линейным методом</w:t>
            </w:r>
          </w:p>
        </w:tc>
        <w:tc>
          <w:tcPr>
            <w:tcW w:w="6066" w:type="dxa"/>
          </w:tcPr>
          <w:p w14:paraId="24118DDC" w14:textId="77777777" w:rsidR="00273888" w:rsidRPr="00B909EA" w:rsidRDefault="00273888" w:rsidP="00273888">
            <w:pPr>
              <w:jc w:val="center"/>
            </w:pPr>
            <w:r w:rsidRPr="00B909EA">
              <w:rPr>
                <w:shd w:val="clear" w:color="auto" w:fill="FFFFFF"/>
              </w:rPr>
              <w:t>Пункты </w:t>
            </w:r>
            <w:hyperlink r:id="rId28" w:anchor="/document/99/420389698/XA00MG82O6/" w:tooltip="36. Метод начисления амортизации отражает предполагаемый способ получения будущих экономических выгод или полезного потенциала, заключенного в активе." w:history="1">
              <w:r w:rsidRPr="00B909EA">
                <w:rPr>
                  <w:rStyle w:val="a4"/>
                  <w:color w:val="auto"/>
                </w:rPr>
                <w:t>36</w:t>
              </w:r>
            </w:hyperlink>
            <w:r w:rsidRPr="00B909EA">
              <w:rPr>
                <w:shd w:val="clear" w:color="auto" w:fill="FFFFFF"/>
              </w:rPr>
              <w:t>, </w:t>
            </w:r>
            <w:hyperlink r:id="rId29" w:anchor="/document/99/420389698/XA00M7S2N5/" w:tooltip="37. Субъект учета выбирает метод начисления амортизации, который наиболее точно отражает предполагаемый способ получения будущих экономических выгод или полезного потенциала, заключенных в активе." w:history="1">
              <w:r w:rsidRPr="00B909EA">
                <w:rPr>
                  <w:rStyle w:val="a4"/>
                  <w:color w:val="auto"/>
                </w:rPr>
                <w:t>37</w:t>
              </w:r>
            </w:hyperlink>
            <w:r w:rsidRPr="00B909EA">
              <w:rPr>
                <w:shd w:val="clear" w:color="auto" w:fill="FFFFFF"/>
              </w:rPr>
              <w:t> СГС «Основные средства».</w:t>
            </w:r>
          </w:p>
        </w:tc>
      </w:tr>
      <w:tr w:rsidR="00B909EA" w:rsidRPr="00B909EA" w14:paraId="3FC3030D" w14:textId="77777777" w:rsidTr="00090E2A">
        <w:tc>
          <w:tcPr>
            <w:tcW w:w="2451" w:type="dxa"/>
          </w:tcPr>
          <w:p w14:paraId="3F208A42" w14:textId="77777777" w:rsidR="00273888" w:rsidRPr="00B909EA" w:rsidRDefault="00273888" w:rsidP="00273888">
            <w:pPr>
              <w:jc w:val="center"/>
            </w:pPr>
            <w:r w:rsidRPr="00B909EA">
              <w:t>Способ учета суммы накопленной амортизации при переоценке объекта основного средства</w:t>
            </w:r>
          </w:p>
        </w:tc>
        <w:tc>
          <w:tcPr>
            <w:tcW w:w="1695" w:type="dxa"/>
          </w:tcPr>
          <w:p w14:paraId="5E64D420" w14:textId="77777777" w:rsidR="00273888" w:rsidRPr="00B909EA" w:rsidRDefault="00273888" w:rsidP="00273888">
            <w:pPr>
              <w:jc w:val="center"/>
            </w:pPr>
            <w:r w:rsidRPr="00B909EA">
              <w:t>1.104.00</w:t>
            </w:r>
          </w:p>
        </w:tc>
        <w:tc>
          <w:tcPr>
            <w:tcW w:w="4638" w:type="dxa"/>
          </w:tcPr>
          <w:p w14:paraId="5D2ABAC5" w14:textId="77777777" w:rsidR="00273888" w:rsidRPr="00B909EA" w:rsidRDefault="00273888" w:rsidP="00273888">
            <w:pPr>
              <w:jc w:val="both"/>
            </w:pPr>
            <w:r w:rsidRPr="00B909EA">
              <w:t>При </w:t>
            </w:r>
            <w:r w:rsidRPr="00B909EA">
              <w:rPr>
                <w:shd w:val="clear" w:color="auto" w:fill="FFFFFF"/>
              </w:rPr>
              <w:t>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w:t>
            </w:r>
            <w:r w:rsidRPr="00B909EA">
              <w:br/>
            </w:r>
            <w:r w:rsidRPr="00B909EA">
              <w:rPr>
                <w:shd w:val="clear" w:color="auto" w:fill="FFFFFF"/>
              </w:rPr>
              <w:t>амортизация увеличиваются (умножаются) на одинаковый коэффициент таким образом, </w:t>
            </w:r>
            <w:r w:rsidRPr="00B909EA">
              <w:br/>
            </w:r>
            <w:r w:rsidRPr="00B909EA">
              <w:rPr>
                <w:shd w:val="clear" w:color="auto" w:fill="FFFFFF"/>
              </w:rPr>
              <w:lastRenderedPageBreak/>
              <w:t>чтобы при их суммировании получить переоцененную стоимость на дату проведения переоценки.</w:t>
            </w:r>
          </w:p>
        </w:tc>
        <w:tc>
          <w:tcPr>
            <w:tcW w:w="6066" w:type="dxa"/>
          </w:tcPr>
          <w:p w14:paraId="4B4C0E07" w14:textId="77777777" w:rsidR="00273888" w:rsidRPr="00B909EA" w:rsidRDefault="00B909EA" w:rsidP="00273888">
            <w:pPr>
              <w:jc w:val="center"/>
              <w:rPr>
                <w:shd w:val="clear" w:color="auto" w:fill="FFFFFF"/>
              </w:rPr>
            </w:pPr>
            <w:hyperlink r:id="rId30" w:anchor="/document/99/420389698/XA00MEQ2NA/" w:tooltip="41. При переоценке объекта основных средств (в том числе объектов основных средств, отчуждаемых не в пользу организаций государственного сектора) сумма накопленной амортизации, исчисленная на дату переоценки, учитывается одним из..." w:history="1">
              <w:r w:rsidR="00273888" w:rsidRPr="00B909EA">
                <w:rPr>
                  <w:rStyle w:val="a4"/>
                  <w:color w:val="auto"/>
                </w:rPr>
                <w:t>Пункт 41</w:t>
              </w:r>
            </w:hyperlink>
            <w:r w:rsidR="00273888" w:rsidRPr="00B909EA">
              <w:rPr>
                <w:shd w:val="clear" w:color="auto" w:fill="FFFFFF"/>
              </w:rPr>
              <w:t> СГС «Основные средства».</w:t>
            </w:r>
          </w:p>
        </w:tc>
      </w:tr>
      <w:tr w:rsidR="00B909EA" w:rsidRPr="00B909EA" w14:paraId="540E1B90" w14:textId="77777777" w:rsidTr="00090E2A">
        <w:tc>
          <w:tcPr>
            <w:tcW w:w="2451" w:type="dxa"/>
          </w:tcPr>
          <w:p w14:paraId="3758E1C4" w14:textId="77777777" w:rsidR="00273888" w:rsidRPr="00B909EA" w:rsidRDefault="00273888" w:rsidP="00273888">
            <w:pPr>
              <w:jc w:val="center"/>
            </w:pPr>
            <w:r w:rsidRPr="00B909EA">
              <w:t>Способ оценки основных средств стоимостью до 10 000,00 руб. включительно, находящихся в эксплуатации, учитываемых на забалансовом счете 21</w:t>
            </w:r>
          </w:p>
        </w:tc>
        <w:tc>
          <w:tcPr>
            <w:tcW w:w="1695" w:type="dxa"/>
          </w:tcPr>
          <w:p w14:paraId="67D9E016" w14:textId="77777777" w:rsidR="00273888" w:rsidRPr="00B909EA" w:rsidRDefault="00273888" w:rsidP="00273888">
            <w:pPr>
              <w:jc w:val="center"/>
            </w:pPr>
            <w:r w:rsidRPr="00B909EA">
              <w:t>1.21.0</w:t>
            </w:r>
          </w:p>
        </w:tc>
        <w:tc>
          <w:tcPr>
            <w:tcW w:w="4638" w:type="dxa"/>
          </w:tcPr>
          <w:p w14:paraId="2C769B90" w14:textId="77777777" w:rsidR="00273888" w:rsidRPr="00B909EA" w:rsidRDefault="00273888" w:rsidP="00273888">
            <w:pPr>
              <w:jc w:val="both"/>
            </w:pPr>
            <w:r w:rsidRPr="00B909EA">
              <w:t>Основные средства стоимостью до 10 000,00 включительно, находящиеся в эксплуатации, учитываются на забалансовом счете 21 по балансовой стоимости.</w:t>
            </w:r>
          </w:p>
        </w:tc>
        <w:tc>
          <w:tcPr>
            <w:tcW w:w="6066" w:type="dxa"/>
          </w:tcPr>
          <w:p w14:paraId="5D3AA88B" w14:textId="1524B237" w:rsidR="00273888" w:rsidRPr="00B909EA" w:rsidRDefault="00273888" w:rsidP="00273888">
            <w:pPr>
              <w:rPr>
                <w:shd w:val="clear" w:color="auto" w:fill="FFFFFF"/>
              </w:rPr>
            </w:pPr>
            <w:r w:rsidRPr="00B909EA">
              <w:rPr>
                <w:shd w:val="clear" w:color="auto" w:fill="FFFFFF"/>
              </w:rPr>
              <w:t>П</w:t>
            </w:r>
            <w:hyperlink r:id="rId31" w:anchor="/document/99/420389698/XA00MBO2NM/" w:tooltip="39. Амортизация объекта основных средств начисляется с учетом следующих положений:" w:history="1">
              <w:r w:rsidRPr="00B909EA">
                <w:t>ункт 39</w:t>
              </w:r>
            </w:hyperlink>
            <w:r w:rsidRPr="00B909EA">
              <w:rPr>
                <w:shd w:val="clear" w:color="auto" w:fill="FFFFFF"/>
              </w:rPr>
              <w:t> СГС «Основные средства»</w:t>
            </w:r>
          </w:p>
          <w:p w14:paraId="2E60D668" w14:textId="77777777" w:rsidR="00273888" w:rsidRPr="00B909EA" w:rsidRDefault="00273888" w:rsidP="005B531E">
            <w:pPr>
              <w:rPr>
                <w:shd w:val="clear" w:color="auto" w:fill="FFFFFF"/>
              </w:rPr>
            </w:pPr>
            <w:r w:rsidRPr="00B909EA">
              <w:rPr>
                <w:shd w:val="clear" w:color="auto" w:fill="FFFFFF"/>
              </w:rPr>
              <w:t> </w:t>
            </w:r>
          </w:p>
        </w:tc>
      </w:tr>
      <w:tr w:rsidR="00B909EA" w:rsidRPr="00B909EA" w14:paraId="50C9F8C1" w14:textId="77777777" w:rsidTr="00090E2A">
        <w:tc>
          <w:tcPr>
            <w:tcW w:w="2451" w:type="dxa"/>
          </w:tcPr>
          <w:p w14:paraId="3C443D9A" w14:textId="77777777" w:rsidR="005B531E" w:rsidRPr="00B909EA" w:rsidRDefault="005B531E" w:rsidP="005B531E">
            <w:pPr>
              <w:jc w:val="center"/>
            </w:pPr>
            <w:r w:rsidRPr="00B909EA">
              <w:t>Способ учета (ЛВС) и (ОПС)</w:t>
            </w:r>
          </w:p>
        </w:tc>
        <w:tc>
          <w:tcPr>
            <w:tcW w:w="1695" w:type="dxa"/>
          </w:tcPr>
          <w:p w14:paraId="20FC1211" w14:textId="77777777" w:rsidR="005B531E" w:rsidRPr="00B909EA" w:rsidRDefault="005B531E" w:rsidP="00273888">
            <w:pPr>
              <w:jc w:val="center"/>
            </w:pPr>
            <w:r w:rsidRPr="00B909EA">
              <w:t>1.101.00</w:t>
            </w:r>
          </w:p>
        </w:tc>
        <w:tc>
          <w:tcPr>
            <w:tcW w:w="4638" w:type="dxa"/>
          </w:tcPr>
          <w:p w14:paraId="014DD6D8" w14:textId="77777777" w:rsidR="005B531E" w:rsidRPr="00B909EA" w:rsidRDefault="005B531E" w:rsidP="005B531E">
            <w:r w:rsidRPr="00B909EA">
              <w:rPr>
                <w:shd w:val="clear" w:color="auto" w:fill="FFFFFF"/>
              </w:rPr>
              <w:t>Локально-вычислительная сеть (ЛВС), охранно-пожарная сигнализация (ОПС) и другие сети как отдельные инвентарные объекты не учитываются. Отдельные элементы ЛВС, ОПС и других сетей,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w:t>
            </w:r>
            <w:hyperlink r:id="rId32" w:anchor="/document/118/168847/mar1" w:history="1">
              <w:r w:rsidRPr="00B909EA">
                <w:rPr>
                  <w:u w:val="single"/>
                </w:rPr>
                <w:t>пункте 2.2</w:t>
              </w:r>
            </w:hyperlink>
            <w:r w:rsidRPr="00B909EA">
              <w:rPr>
                <w:shd w:val="clear" w:color="auto" w:fill="FFFFFF"/>
              </w:rPr>
              <w:t> раздела V настоящей Учетной политики.</w:t>
            </w:r>
          </w:p>
        </w:tc>
        <w:tc>
          <w:tcPr>
            <w:tcW w:w="6066" w:type="dxa"/>
          </w:tcPr>
          <w:p w14:paraId="2237C695" w14:textId="0C522DD6" w:rsidR="005B531E" w:rsidRPr="00B909EA" w:rsidRDefault="00B909EA" w:rsidP="00273888">
            <w:hyperlink r:id="rId33" w:history="1">
              <w:r w:rsidR="00F84A4F" w:rsidRPr="00B909EA">
                <w:t>П</w:t>
              </w:r>
              <w:r w:rsidR="005B531E" w:rsidRPr="00B909EA">
                <w:t>ункт 10</w:t>
              </w:r>
            </w:hyperlink>
            <w:r w:rsidR="005B531E" w:rsidRPr="00B909EA">
              <w:rPr>
                <w:shd w:val="clear" w:color="auto" w:fill="FFFFFF"/>
              </w:rPr>
              <w:t> СГС «Основные средства».</w:t>
            </w:r>
          </w:p>
        </w:tc>
      </w:tr>
      <w:tr w:rsidR="00B909EA" w:rsidRPr="00B909EA" w14:paraId="74612BC1" w14:textId="77777777" w:rsidTr="00090E2A">
        <w:tc>
          <w:tcPr>
            <w:tcW w:w="2451" w:type="dxa"/>
          </w:tcPr>
          <w:p w14:paraId="6F58D30C" w14:textId="77777777" w:rsidR="00273888" w:rsidRPr="00B909EA" w:rsidRDefault="00273888" w:rsidP="00273888">
            <w:pPr>
              <w:jc w:val="center"/>
            </w:pPr>
            <w:r w:rsidRPr="00B909EA">
              <w:t>Способ начисления амортизации нематериальных активов</w:t>
            </w:r>
          </w:p>
        </w:tc>
        <w:tc>
          <w:tcPr>
            <w:tcW w:w="1695" w:type="dxa"/>
          </w:tcPr>
          <w:p w14:paraId="3DA56E18" w14:textId="77777777" w:rsidR="00273888" w:rsidRPr="00B909EA" w:rsidRDefault="00273888" w:rsidP="00273888">
            <w:pPr>
              <w:jc w:val="center"/>
            </w:pPr>
            <w:r w:rsidRPr="00B909EA">
              <w:t>1.111.60</w:t>
            </w:r>
          </w:p>
        </w:tc>
        <w:tc>
          <w:tcPr>
            <w:tcW w:w="4638" w:type="dxa"/>
          </w:tcPr>
          <w:p w14:paraId="0E7D5694" w14:textId="77777777" w:rsidR="00273888" w:rsidRPr="00B909EA" w:rsidRDefault="00273888" w:rsidP="00273888">
            <w:pPr>
              <w:keepNext/>
              <w:spacing w:after="150"/>
            </w:pPr>
            <w:r w:rsidRPr="00B909EA">
              <w:t>14.1. Начисление амортизации осуществляется линейным методом.</w:t>
            </w:r>
          </w:p>
          <w:p w14:paraId="796F26A8" w14:textId="77777777" w:rsidR="00273888" w:rsidRPr="00B909EA" w:rsidRDefault="00273888" w:rsidP="00273888"/>
        </w:tc>
        <w:tc>
          <w:tcPr>
            <w:tcW w:w="6066" w:type="dxa"/>
          </w:tcPr>
          <w:p w14:paraId="382AF265" w14:textId="77777777" w:rsidR="00273888" w:rsidRPr="00B909EA" w:rsidRDefault="00273888" w:rsidP="00273888">
            <w:r w:rsidRPr="00B909EA">
              <w:t>Основание: пункты </w:t>
            </w:r>
            <w:hyperlink r:id="rId34" w:anchor="/document/99/563895829/XA00M7O2N2/" w:tooltip="30. Метод амортизации отражает предполагаемый способ получения будущих экономических выгод или полезного потенциала, заключенного в объекте нематериального актива." w:history="1">
              <w:r w:rsidRPr="00B909EA">
                <w:rPr>
                  <w:u w:val="single"/>
                </w:rPr>
                <w:t>30</w:t>
              </w:r>
            </w:hyperlink>
            <w:r w:rsidRPr="00B909EA">
              <w:t>, </w:t>
            </w:r>
            <w:hyperlink r:id="rId35" w:anchor="/document/99/563895829/XA00M8A2N5/" w:tooltip="31. Субъект учета выбирает для каждого объекта нематериальных активов тот метод амортизации, который наиболее точно отражает предполагаемый способ получения, заключенных в нем" w:history="1">
              <w:r w:rsidRPr="00B909EA">
                <w:rPr>
                  <w:u w:val="single"/>
                </w:rPr>
                <w:t>31</w:t>
              </w:r>
            </w:hyperlink>
            <w:r w:rsidRPr="00B909EA">
              <w:t> СГС «Нематериальные активы».</w:t>
            </w:r>
          </w:p>
          <w:p w14:paraId="62A1CDCD" w14:textId="77777777" w:rsidR="00273888" w:rsidRPr="00B909EA" w:rsidRDefault="00273888" w:rsidP="00273888">
            <w:pPr>
              <w:jc w:val="both"/>
            </w:pPr>
          </w:p>
        </w:tc>
      </w:tr>
      <w:tr w:rsidR="00B909EA" w:rsidRPr="00B909EA" w14:paraId="0E4D8995" w14:textId="77777777" w:rsidTr="00090E2A">
        <w:trPr>
          <w:trHeight w:val="845"/>
        </w:trPr>
        <w:tc>
          <w:tcPr>
            <w:tcW w:w="2451" w:type="dxa"/>
          </w:tcPr>
          <w:p w14:paraId="4ED875BC" w14:textId="77777777" w:rsidR="00273888" w:rsidRPr="00B909EA" w:rsidRDefault="00273888" w:rsidP="00273888">
            <w:pPr>
              <w:jc w:val="center"/>
            </w:pPr>
            <w:r w:rsidRPr="00B909EA">
              <w:rPr>
                <w:shd w:val="clear" w:color="auto" w:fill="FFFFFF"/>
              </w:rPr>
              <w:lastRenderedPageBreak/>
              <w:t>Раскрытие информации об объектах нематериальных активов (результатах операций с ними) в бухгалтерской (финансовой) отчетности</w:t>
            </w:r>
          </w:p>
        </w:tc>
        <w:tc>
          <w:tcPr>
            <w:tcW w:w="1695" w:type="dxa"/>
          </w:tcPr>
          <w:p w14:paraId="6129996B" w14:textId="77777777" w:rsidR="00273888" w:rsidRPr="00B909EA" w:rsidRDefault="00273888" w:rsidP="00273888">
            <w:pPr>
              <w:jc w:val="center"/>
            </w:pPr>
            <w:r w:rsidRPr="00B909EA">
              <w:t>1.102.00</w:t>
            </w:r>
          </w:p>
        </w:tc>
        <w:tc>
          <w:tcPr>
            <w:tcW w:w="4638" w:type="dxa"/>
          </w:tcPr>
          <w:p w14:paraId="13EF7BD6" w14:textId="77777777" w:rsidR="00273888" w:rsidRPr="00B909EA" w:rsidRDefault="00273888" w:rsidP="00273888">
            <w:pPr>
              <w:spacing w:after="150"/>
              <w:ind w:firstLine="709"/>
              <w:jc w:val="both"/>
            </w:pPr>
            <w:r w:rsidRPr="00B909EA">
              <w:t>14.</w:t>
            </w:r>
            <w:proofErr w:type="gramStart"/>
            <w:r w:rsidRPr="00B909EA">
              <w:t>2.Учреждение</w:t>
            </w:r>
            <w:proofErr w:type="gramEnd"/>
            <w:r w:rsidRPr="00B909EA">
              <w:t xml:space="preserve"> 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14:paraId="656E6BAD" w14:textId="77777777" w:rsidR="00273888" w:rsidRPr="00B909EA" w:rsidRDefault="00273888" w:rsidP="00273888">
            <w:pPr>
              <w:ind w:left="-90"/>
              <w:jc w:val="both"/>
            </w:pPr>
          </w:p>
        </w:tc>
        <w:tc>
          <w:tcPr>
            <w:tcW w:w="6066" w:type="dxa"/>
          </w:tcPr>
          <w:p w14:paraId="5825A8C2" w14:textId="77777777" w:rsidR="00273888" w:rsidRPr="00B909EA" w:rsidRDefault="00273888" w:rsidP="00273888">
            <w:pPr>
              <w:spacing w:after="150"/>
            </w:pPr>
            <w:r w:rsidRPr="00B909EA">
              <w:t>Основание: </w:t>
            </w:r>
            <w:hyperlink r:id="rId36" w:anchor="/document/99/563895829/XA00MFE2O5/" w:tooltip="В случае если предусмотрено учетной политикой субъекта учета, в бухгалтерской (финансовой) отчетности раскрываются дополнительные данные об остаточной стоимости объектов нематериальных активов на начало и конец периода с их подразделением на созданные силами с" w:history="1">
              <w:r w:rsidRPr="00B909EA">
                <w:rPr>
                  <w:u w:val="single"/>
                </w:rPr>
                <w:t>пункт 44</w:t>
              </w:r>
            </w:hyperlink>
            <w:r w:rsidRPr="00B909EA">
              <w:t> СГС «Нематериальные активы». »</w:t>
            </w:r>
          </w:p>
          <w:p w14:paraId="37C7FD4F" w14:textId="77777777" w:rsidR="00273888" w:rsidRPr="00B909EA" w:rsidRDefault="00273888" w:rsidP="00273888">
            <w:pPr>
              <w:jc w:val="both"/>
            </w:pPr>
          </w:p>
        </w:tc>
      </w:tr>
      <w:tr w:rsidR="00B909EA" w:rsidRPr="00B909EA" w14:paraId="0A86183A" w14:textId="77777777" w:rsidTr="00090E2A">
        <w:tc>
          <w:tcPr>
            <w:tcW w:w="2451" w:type="dxa"/>
          </w:tcPr>
          <w:p w14:paraId="51B2D981" w14:textId="77777777" w:rsidR="005B531E" w:rsidRPr="00B909EA" w:rsidRDefault="003A1692" w:rsidP="00273888">
            <w:pPr>
              <w:jc w:val="center"/>
            </w:pPr>
            <w:r w:rsidRPr="00B909EA">
              <w:t>Группировка материальных запасов по счетам</w:t>
            </w:r>
          </w:p>
        </w:tc>
        <w:tc>
          <w:tcPr>
            <w:tcW w:w="1695" w:type="dxa"/>
          </w:tcPr>
          <w:p w14:paraId="554F0A72" w14:textId="77777777" w:rsidR="005B531E" w:rsidRPr="00B909EA" w:rsidRDefault="003A1692" w:rsidP="00273888">
            <w:pPr>
              <w:jc w:val="center"/>
            </w:pPr>
            <w:r w:rsidRPr="00B909EA">
              <w:t>1.105.00</w:t>
            </w:r>
          </w:p>
        </w:tc>
        <w:tc>
          <w:tcPr>
            <w:tcW w:w="4638" w:type="dxa"/>
          </w:tcPr>
          <w:p w14:paraId="5450966C" w14:textId="77777777" w:rsidR="003A1692" w:rsidRPr="00B909EA" w:rsidRDefault="003A1692" w:rsidP="003A1692">
            <w:r w:rsidRPr="00B909EA">
              <w:rPr>
                <w:shd w:val="clear" w:color="auto" w:fill="FFFFFF"/>
              </w:rPr>
              <w:t>Учреждение учитывает материальные запасы с разбивкой на аналитические группы по кодам вида синтетического счета:</w:t>
            </w:r>
          </w:p>
          <w:p w14:paraId="32A7935D" w14:textId="77777777" w:rsidR="003A1692" w:rsidRPr="00B909EA" w:rsidRDefault="003A1692" w:rsidP="003A1692">
            <w:pPr>
              <w:rPr>
                <w:shd w:val="clear" w:color="auto" w:fill="FFFFFF"/>
              </w:rPr>
            </w:pPr>
            <w:r w:rsidRPr="00B909EA">
              <w:rPr>
                <w:shd w:val="clear" w:color="auto" w:fill="FFFFFF"/>
              </w:rPr>
              <w:t>- «Горюче-смазочные материалы» – все виды топлива, горючего и смазочных материалов, в том числе, бензин.</w:t>
            </w:r>
          </w:p>
          <w:p w14:paraId="61CD205D" w14:textId="77777777" w:rsidR="005B531E" w:rsidRPr="00B909EA" w:rsidRDefault="003A1692" w:rsidP="003A1692">
            <w:r w:rsidRPr="00B909EA">
              <w:rPr>
                <w:shd w:val="clear" w:color="auto" w:fill="FFFFFF"/>
              </w:rPr>
              <w:t>- «Прочие материальные запасы».</w:t>
            </w:r>
          </w:p>
        </w:tc>
        <w:tc>
          <w:tcPr>
            <w:tcW w:w="6066" w:type="dxa"/>
          </w:tcPr>
          <w:p w14:paraId="155F77DD" w14:textId="77777777" w:rsidR="005B531E" w:rsidRPr="00B909EA" w:rsidRDefault="003A1692" w:rsidP="00273888">
            <w:pPr>
              <w:jc w:val="both"/>
            </w:pPr>
            <w:r w:rsidRPr="00B909EA">
              <w:rPr>
                <w:shd w:val="clear" w:color="auto" w:fill="FFFFFF"/>
              </w:rPr>
              <w:t>СГС «Единый план счетов» № 121н.</w:t>
            </w:r>
          </w:p>
        </w:tc>
      </w:tr>
      <w:tr w:rsidR="00B909EA" w:rsidRPr="00B909EA" w14:paraId="31FE8EEC" w14:textId="77777777" w:rsidTr="00090E2A">
        <w:tc>
          <w:tcPr>
            <w:tcW w:w="2451" w:type="dxa"/>
          </w:tcPr>
          <w:p w14:paraId="555C32B9" w14:textId="77777777" w:rsidR="00273888" w:rsidRPr="00B909EA" w:rsidRDefault="00273888" w:rsidP="00273888">
            <w:pPr>
              <w:jc w:val="center"/>
            </w:pPr>
            <w:r w:rsidRPr="00B909EA">
              <w:t>Единица учета материальных запасов</w:t>
            </w:r>
          </w:p>
        </w:tc>
        <w:tc>
          <w:tcPr>
            <w:tcW w:w="1695" w:type="dxa"/>
          </w:tcPr>
          <w:p w14:paraId="4D12D240" w14:textId="77777777" w:rsidR="00273888" w:rsidRPr="00B909EA" w:rsidRDefault="00273888" w:rsidP="00273888">
            <w:pPr>
              <w:jc w:val="center"/>
            </w:pPr>
            <w:r w:rsidRPr="00B909EA">
              <w:t>1.105.00</w:t>
            </w:r>
          </w:p>
        </w:tc>
        <w:tc>
          <w:tcPr>
            <w:tcW w:w="4638" w:type="dxa"/>
          </w:tcPr>
          <w:p w14:paraId="6618C26E" w14:textId="77777777" w:rsidR="00273888" w:rsidRPr="00B909EA" w:rsidRDefault="00273888" w:rsidP="00273888">
            <w:pPr>
              <w:ind w:left="-90"/>
              <w:jc w:val="both"/>
            </w:pPr>
            <w:r w:rsidRPr="00B909EA">
              <w:t xml:space="preserve">. Единица учета материальных запасов в учреждении – номенклатурная (реестровая) единица. </w:t>
            </w:r>
          </w:p>
        </w:tc>
        <w:tc>
          <w:tcPr>
            <w:tcW w:w="6066" w:type="dxa"/>
          </w:tcPr>
          <w:p w14:paraId="5EE7E65A" w14:textId="77777777" w:rsidR="00273888" w:rsidRPr="00B909EA" w:rsidRDefault="00273888" w:rsidP="00273888">
            <w:pPr>
              <w:jc w:val="both"/>
            </w:pPr>
            <w:r w:rsidRPr="00B909EA">
              <w:t>П</w:t>
            </w:r>
            <w:hyperlink r:id="rId37" w:anchor="/document/99/542638393/XA00MA42N8/" w:tooltip="8. Единица бухгалтерского учета запасов выбирается субъектом учета самостоятельно с учетом положений, установленных им в рамках формирования учетной политики, таким образом, чтобы обеспечить формирование полной и достоверной информации об этих запасах, в том ч" w:history="1">
              <w:r w:rsidRPr="00B909EA">
                <w:t>ункт 8</w:t>
              </w:r>
            </w:hyperlink>
            <w:r w:rsidRPr="00B909EA">
              <w:t> СГС «Запасы».</w:t>
            </w:r>
          </w:p>
          <w:p w14:paraId="017CF639" w14:textId="77777777" w:rsidR="00273888" w:rsidRPr="00B909EA" w:rsidRDefault="00273888" w:rsidP="00273888">
            <w:pPr>
              <w:jc w:val="center"/>
              <w:rPr>
                <w:shd w:val="clear" w:color="auto" w:fill="FFFFFF"/>
              </w:rPr>
            </w:pPr>
          </w:p>
        </w:tc>
      </w:tr>
      <w:tr w:rsidR="00B909EA" w:rsidRPr="00B909EA" w14:paraId="63465522" w14:textId="77777777" w:rsidTr="00090E2A">
        <w:tc>
          <w:tcPr>
            <w:tcW w:w="2451" w:type="dxa"/>
          </w:tcPr>
          <w:p w14:paraId="0DBDBFA4" w14:textId="77777777" w:rsidR="00273888" w:rsidRPr="00B909EA" w:rsidRDefault="00273888" w:rsidP="00273888">
            <w:pPr>
              <w:jc w:val="center"/>
            </w:pPr>
            <w:r w:rsidRPr="00B909EA">
              <w:t>Способ оценки стоимости материальных запасов при списании</w:t>
            </w:r>
          </w:p>
        </w:tc>
        <w:tc>
          <w:tcPr>
            <w:tcW w:w="1695" w:type="dxa"/>
          </w:tcPr>
          <w:p w14:paraId="436DB5A1" w14:textId="77777777" w:rsidR="00273888" w:rsidRPr="00B909EA" w:rsidRDefault="00273888" w:rsidP="00273888">
            <w:pPr>
              <w:jc w:val="center"/>
            </w:pPr>
            <w:r w:rsidRPr="00B909EA">
              <w:t>1.105.00</w:t>
            </w:r>
          </w:p>
        </w:tc>
        <w:tc>
          <w:tcPr>
            <w:tcW w:w="4638" w:type="dxa"/>
          </w:tcPr>
          <w:p w14:paraId="62DDC8C6" w14:textId="77777777" w:rsidR="00273888" w:rsidRPr="00B909EA" w:rsidRDefault="00273888" w:rsidP="00273888">
            <w:pPr>
              <w:jc w:val="center"/>
            </w:pPr>
            <w:r w:rsidRPr="00B909EA">
              <w:t>Списание материальных запасов производится по средней фактической стоимости</w:t>
            </w:r>
          </w:p>
        </w:tc>
        <w:tc>
          <w:tcPr>
            <w:tcW w:w="6066" w:type="dxa"/>
          </w:tcPr>
          <w:p w14:paraId="716C5002" w14:textId="77777777" w:rsidR="00273888" w:rsidRPr="00B909EA" w:rsidRDefault="00B909EA" w:rsidP="003A1692">
            <w:pPr>
              <w:rPr>
                <w:shd w:val="clear" w:color="auto" w:fill="FFFFFF"/>
              </w:rPr>
            </w:pPr>
            <w:hyperlink r:id="rId38" w:history="1">
              <w:r w:rsidR="003A1692" w:rsidRPr="00B909EA">
                <w:rPr>
                  <w:u w:val="single"/>
                </w:rPr>
                <w:t>Пункт 42</w:t>
              </w:r>
            </w:hyperlink>
            <w:r w:rsidR="003A1692" w:rsidRPr="00B909EA">
              <w:rPr>
                <w:shd w:val="clear" w:color="auto" w:fill="FFFFFF"/>
              </w:rPr>
              <w:t> СГС «Запасы».</w:t>
            </w:r>
          </w:p>
        </w:tc>
      </w:tr>
      <w:tr w:rsidR="00B909EA" w:rsidRPr="00B909EA" w14:paraId="40D1AE55" w14:textId="77777777" w:rsidTr="00090E2A">
        <w:tc>
          <w:tcPr>
            <w:tcW w:w="2451" w:type="dxa"/>
          </w:tcPr>
          <w:p w14:paraId="1C3CF5A9" w14:textId="77777777" w:rsidR="00273888" w:rsidRPr="00B909EA" w:rsidRDefault="00273888" w:rsidP="00273888">
            <w:pPr>
              <w:jc w:val="center"/>
            </w:pPr>
            <w:r w:rsidRPr="00B909EA">
              <w:t>Документальное оформление выдачи в эксплуатацию канцелярских принадлежностей, запасных частей и хозяйственных материалов</w:t>
            </w:r>
          </w:p>
        </w:tc>
        <w:tc>
          <w:tcPr>
            <w:tcW w:w="1695" w:type="dxa"/>
          </w:tcPr>
          <w:p w14:paraId="69A914FB" w14:textId="77777777" w:rsidR="00273888" w:rsidRPr="00B909EA" w:rsidRDefault="00273888" w:rsidP="00273888">
            <w:pPr>
              <w:jc w:val="center"/>
            </w:pPr>
            <w:r w:rsidRPr="00B909EA">
              <w:t>1.105.00</w:t>
            </w:r>
          </w:p>
        </w:tc>
        <w:tc>
          <w:tcPr>
            <w:tcW w:w="4638" w:type="dxa"/>
          </w:tcPr>
          <w:p w14:paraId="1696D10E" w14:textId="77777777" w:rsidR="00273888" w:rsidRPr="00B909EA" w:rsidRDefault="00273888" w:rsidP="00273888">
            <w:pPr>
              <w:rPr>
                <w:shd w:val="clear" w:color="auto" w:fill="FFFFFF"/>
              </w:rPr>
            </w:pPr>
            <w:r w:rsidRPr="00B909EA">
              <w:rPr>
                <w:shd w:val="clear" w:color="auto" w:fill="FFFFFF"/>
              </w:rPr>
              <w:t>Выдача в эксплуатацию канцелярских принадлежностей,  запасных частей и хозяйственных материалов оформляется ведомостью выдачи материальных ценностей на нужды учреждения (</w:t>
            </w:r>
            <w:hyperlink r:id="rId39" w:anchor="/document/140/33930/" w:tooltip="ОКУД 0504210. Ведомость выдачи материальных ценностей на нужды учреждения" w:history="1">
              <w:r w:rsidRPr="00B909EA">
                <w:t>ф. 0504210</w:t>
              </w:r>
            </w:hyperlink>
            <w:r w:rsidRPr="00B909EA">
              <w:rPr>
                <w:shd w:val="clear" w:color="auto" w:fill="FFFFFF"/>
              </w:rPr>
              <w:t xml:space="preserve">).  </w:t>
            </w:r>
          </w:p>
          <w:p w14:paraId="32DEC0D5" w14:textId="77777777" w:rsidR="00273888" w:rsidRPr="00B909EA" w:rsidRDefault="00273888" w:rsidP="00273888">
            <w:pPr>
              <w:jc w:val="both"/>
            </w:pPr>
            <w:r w:rsidRPr="00B909EA">
              <w:rPr>
                <w:shd w:val="clear" w:color="auto" w:fill="FFFFFF"/>
              </w:rPr>
              <w:t> </w:t>
            </w:r>
            <w:r w:rsidRPr="00B909EA">
              <w:t>Эта </w:t>
            </w:r>
            <w:r w:rsidRPr="00B909EA">
              <w:rPr>
                <w:shd w:val="clear" w:color="auto" w:fill="FFFFFF"/>
              </w:rPr>
              <w:t>ведомость является основанием для списания материальных запасов.</w:t>
            </w:r>
          </w:p>
        </w:tc>
        <w:tc>
          <w:tcPr>
            <w:tcW w:w="6066" w:type="dxa"/>
          </w:tcPr>
          <w:p w14:paraId="26986E71" w14:textId="77777777" w:rsidR="00273888" w:rsidRPr="00B909EA" w:rsidRDefault="00273888" w:rsidP="00C76812">
            <w:pPr>
              <w:rPr>
                <w:shd w:val="clear" w:color="auto" w:fill="FFFFFF"/>
              </w:rPr>
            </w:pPr>
            <w:r w:rsidRPr="00B909EA">
              <w:t>Приказ Минфина от 30.03.2015 № 52н</w:t>
            </w:r>
          </w:p>
        </w:tc>
      </w:tr>
      <w:tr w:rsidR="00B909EA" w:rsidRPr="00B909EA" w14:paraId="0A695BC3" w14:textId="77777777" w:rsidTr="00090E2A">
        <w:tc>
          <w:tcPr>
            <w:tcW w:w="2451" w:type="dxa"/>
          </w:tcPr>
          <w:p w14:paraId="4719BF15" w14:textId="77777777" w:rsidR="00273888" w:rsidRPr="00B909EA" w:rsidRDefault="00273888" w:rsidP="00273888">
            <w:r w:rsidRPr="00B909EA">
              <w:lastRenderedPageBreak/>
              <w:t>Оценка приобретенных, но находящихся в пути запасов</w:t>
            </w:r>
          </w:p>
        </w:tc>
        <w:tc>
          <w:tcPr>
            <w:tcW w:w="1695" w:type="dxa"/>
          </w:tcPr>
          <w:p w14:paraId="41C4580E" w14:textId="77777777" w:rsidR="00273888" w:rsidRPr="00B909EA" w:rsidRDefault="00273888" w:rsidP="00273888">
            <w:r w:rsidRPr="00B909EA">
              <w:t>1.105.00</w:t>
            </w:r>
          </w:p>
        </w:tc>
        <w:tc>
          <w:tcPr>
            <w:tcW w:w="4638" w:type="dxa"/>
          </w:tcPr>
          <w:p w14:paraId="2472D93E" w14:textId="77777777" w:rsidR="00273888" w:rsidRPr="00B909EA" w:rsidRDefault="00273888" w:rsidP="00273888">
            <w:r w:rsidRPr="00B909EA">
              <w:t xml:space="preserve">.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w:t>
            </w:r>
            <w:hyperlink r:id="rId40" w:history="1">
              <w:proofErr w:type="spellStart"/>
              <w:r w:rsidR="003A1692" w:rsidRPr="00B909EA">
                <w:rPr>
                  <w:u w:val="single"/>
                </w:rPr>
                <w:t>пункте</w:t>
              </w:r>
              <w:proofErr w:type="spellEnd"/>
              <w:r w:rsidR="003A1692" w:rsidRPr="00B909EA">
                <w:rPr>
                  <w:u w:val="single"/>
                </w:rPr>
                <w:t xml:space="preserve"> 19</w:t>
              </w:r>
            </w:hyperlink>
            <w:r w:rsidR="003A1692" w:rsidRPr="00B909EA">
              <w:rPr>
                <w:shd w:val="clear" w:color="auto" w:fill="FFFFFF"/>
              </w:rPr>
              <w:t> СГС «Запасы»</w:t>
            </w:r>
            <w:r w:rsidRPr="00B909EA">
              <w:t xml:space="preserve">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tc>
        <w:tc>
          <w:tcPr>
            <w:tcW w:w="6066" w:type="dxa"/>
          </w:tcPr>
          <w:p w14:paraId="6504F64A" w14:textId="77777777" w:rsidR="00273888" w:rsidRPr="00B909EA" w:rsidRDefault="00273888" w:rsidP="00273888">
            <w:r w:rsidRPr="00B909EA">
              <w:t>Основание: пункт 18 СГС «Запасы»</w:t>
            </w:r>
          </w:p>
        </w:tc>
      </w:tr>
      <w:tr w:rsidR="00B909EA" w:rsidRPr="00B909EA" w14:paraId="3A49A330" w14:textId="77777777" w:rsidTr="00090E2A">
        <w:tc>
          <w:tcPr>
            <w:tcW w:w="2451" w:type="dxa"/>
          </w:tcPr>
          <w:p w14:paraId="06F20A61" w14:textId="77777777" w:rsidR="00273888" w:rsidRPr="00B909EA" w:rsidRDefault="00273888" w:rsidP="00273888">
            <w:pPr>
              <w:jc w:val="center"/>
            </w:pPr>
            <w:r w:rsidRPr="00B909EA">
              <w:t>Учет материальных запасов, предназначенных для дарения</w:t>
            </w:r>
          </w:p>
        </w:tc>
        <w:tc>
          <w:tcPr>
            <w:tcW w:w="1695" w:type="dxa"/>
          </w:tcPr>
          <w:p w14:paraId="0E84EA1B" w14:textId="77777777" w:rsidR="00273888" w:rsidRPr="00B909EA" w:rsidRDefault="00273888" w:rsidP="00273888">
            <w:pPr>
              <w:jc w:val="center"/>
            </w:pPr>
            <w:r w:rsidRPr="00B909EA">
              <w:t>1.105.00</w:t>
            </w:r>
          </w:p>
        </w:tc>
        <w:tc>
          <w:tcPr>
            <w:tcW w:w="4638" w:type="dxa"/>
          </w:tcPr>
          <w:p w14:paraId="1C15D07F" w14:textId="77777777" w:rsidR="00F120B1" w:rsidRPr="00B909EA" w:rsidRDefault="00273888" w:rsidP="00F120B1">
            <w:pPr>
              <w:spacing w:after="150"/>
              <w:jc w:val="both"/>
            </w:pPr>
            <w:r w:rsidRPr="00B909EA">
              <w:t>Материальные запасы, которые предназначены для дарения, вручения на мероприятиях, списываются с учета при выдаче со склада на основании </w:t>
            </w:r>
            <w:r w:rsidRPr="00B909EA">
              <w:rPr>
                <w:iCs/>
                <w:shd w:val="clear" w:color="auto" w:fill="FFFFCC"/>
              </w:rPr>
              <w:t>Ведомости выдачи материальных ценностей на нужды учреждения (</w:t>
            </w:r>
            <w:hyperlink r:id="rId41" w:anchor="/document/140/41213/" w:tooltip="ОКУД 0504210. Ведомость выдачи материальных ценностей на нужды учреждения" w:history="1">
              <w:r w:rsidRPr="00B909EA">
                <w:rPr>
                  <w:iCs/>
                </w:rPr>
                <w:t>ф. 0504210</w:t>
              </w:r>
            </w:hyperlink>
            <w:r w:rsidRPr="00B909EA">
              <w:rPr>
                <w:iCs/>
                <w:shd w:val="clear" w:color="auto" w:fill="FFFFCC"/>
              </w:rPr>
              <w:t>)</w:t>
            </w:r>
            <w:r w:rsidRPr="00B909EA">
              <w:t xml:space="preserve">. </w:t>
            </w:r>
          </w:p>
          <w:p w14:paraId="0BEC64F1" w14:textId="77777777" w:rsidR="00273888" w:rsidRPr="00B909EA" w:rsidRDefault="00273888" w:rsidP="00F120B1">
            <w:pPr>
              <w:spacing w:after="150"/>
              <w:jc w:val="both"/>
            </w:pPr>
            <w:r w:rsidRPr="00B909EA">
              <w:t>Факт вручения подарков оформляет ответственный сотрудник в акте, форма которого утверждена в приложении к учетной политике учреждения.</w:t>
            </w:r>
          </w:p>
        </w:tc>
        <w:tc>
          <w:tcPr>
            <w:tcW w:w="6066" w:type="dxa"/>
          </w:tcPr>
          <w:p w14:paraId="06E92C00" w14:textId="77777777" w:rsidR="00273888" w:rsidRPr="00B909EA" w:rsidRDefault="00273888" w:rsidP="00273888">
            <w:pPr>
              <w:jc w:val="center"/>
              <w:rPr>
                <w:shd w:val="clear" w:color="auto" w:fill="FFFFFF"/>
              </w:rPr>
            </w:pPr>
          </w:p>
        </w:tc>
      </w:tr>
      <w:tr w:rsidR="00B909EA" w:rsidRPr="00B909EA" w14:paraId="10177107" w14:textId="77777777" w:rsidTr="00090E2A">
        <w:tc>
          <w:tcPr>
            <w:tcW w:w="2451" w:type="dxa"/>
          </w:tcPr>
          <w:p w14:paraId="36064234" w14:textId="77777777" w:rsidR="00273888" w:rsidRPr="00B909EA" w:rsidRDefault="00273888" w:rsidP="00273888">
            <w:pPr>
              <w:jc w:val="center"/>
            </w:pPr>
            <w:r w:rsidRPr="00B909EA">
              <w:t xml:space="preserve">Способ оценки запасных частей к транспортным средствам, выданных взамен изношенных на забалансовом счете 09 «Запасные части к транспортным </w:t>
            </w:r>
            <w:r w:rsidRPr="00B909EA">
              <w:lastRenderedPageBreak/>
              <w:t>средствам, выданные взамен изношенных»</w:t>
            </w:r>
          </w:p>
        </w:tc>
        <w:tc>
          <w:tcPr>
            <w:tcW w:w="1695" w:type="dxa"/>
          </w:tcPr>
          <w:p w14:paraId="29268F99" w14:textId="77777777" w:rsidR="00273888" w:rsidRPr="00B909EA" w:rsidRDefault="00273888" w:rsidP="00273888">
            <w:pPr>
              <w:jc w:val="center"/>
            </w:pPr>
          </w:p>
          <w:p w14:paraId="475F97BB" w14:textId="77777777" w:rsidR="00273888" w:rsidRPr="00B909EA" w:rsidRDefault="00273888" w:rsidP="00273888">
            <w:pPr>
              <w:jc w:val="center"/>
            </w:pPr>
          </w:p>
          <w:p w14:paraId="394CAEC9" w14:textId="77777777" w:rsidR="00273888" w:rsidRPr="00B909EA" w:rsidRDefault="00273888" w:rsidP="00273888">
            <w:pPr>
              <w:jc w:val="center"/>
            </w:pPr>
            <w:r w:rsidRPr="00B909EA">
              <w:t>1.09</w:t>
            </w:r>
          </w:p>
        </w:tc>
        <w:tc>
          <w:tcPr>
            <w:tcW w:w="4638" w:type="dxa"/>
          </w:tcPr>
          <w:p w14:paraId="4DDA244B" w14:textId="77777777" w:rsidR="00273888" w:rsidRPr="00B909EA" w:rsidRDefault="00273888" w:rsidP="00273888">
            <w:pPr>
              <w:jc w:val="both"/>
            </w:pPr>
            <w:r w:rsidRPr="00B909EA">
              <w:t>Учет на забалансовом счете 09 «Запасные средства к транспортным средствам, выданные взамен изношенных» ведется по фактической цене, по которой указанные запасные части были списаны</w:t>
            </w:r>
          </w:p>
        </w:tc>
        <w:tc>
          <w:tcPr>
            <w:tcW w:w="6066" w:type="dxa"/>
          </w:tcPr>
          <w:p w14:paraId="44AF31D4" w14:textId="77777777" w:rsidR="00273888" w:rsidRPr="00B909EA" w:rsidRDefault="00B909EA" w:rsidP="00F120B1">
            <w:pPr>
              <w:jc w:val="center"/>
              <w:rPr>
                <w:shd w:val="clear" w:color="auto" w:fill="FFFFFF"/>
              </w:rPr>
            </w:pPr>
            <w:hyperlink r:id="rId42" w:history="1">
              <w:r w:rsidR="00F120B1" w:rsidRPr="00B909EA">
                <w:rPr>
                  <w:u w:val="single"/>
                </w:rPr>
                <w:t>Пункты 237–238</w:t>
              </w:r>
            </w:hyperlink>
            <w:r w:rsidR="00F120B1" w:rsidRPr="00B909EA">
              <w:rPr>
                <w:shd w:val="clear" w:color="auto" w:fill="FFFFFF"/>
              </w:rPr>
              <w:t> СГС «Единый план счетов» № 121н.</w:t>
            </w:r>
            <w:r w:rsidR="00273888" w:rsidRPr="00B909EA">
              <w:rPr>
                <w:shd w:val="clear" w:color="auto" w:fill="FFFFFF"/>
              </w:rPr>
              <w:t>н.</w:t>
            </w:r>
          </w:p>
        </w:tc>
      </w:tr>
      <w:tr w:rsidR="00B909EA" w:rsidRPr="00B909EA" w14:paraId="05BBAB71" w14:textId="77777777" w:rsidTr="00090E2A">
        <w:tc>
          <w:tcPr>
            <w:tcW w:w="2451" w:type="dxa"/>
          </w:tcPr>
          <w:p w14:paraId="6E57D94E" w14:textId="77777777" w:rsidR="00273888" w:rsidRPr="00B909EA" w:rsidRDefault="00273888" w:rsidP="00273888">
            <w:pPr>
              <w:jc w:val="center"/>
            </w:pPr>
            <w:r w:rsidRPr="00B909EA">
              <w:t>Предельная сумма выдачи денежных средств под отчет (за исключением расходов на командировки)</w:t>
            </w:r>
          </w:p>
        </w:tc>
        <w:tc>
          <w:tcPr>
            <w:tcW w:w="1695" w:type="dxa"/>
          </w:tcPr>
          <w:p w14:paraId="3B387548" w14:textId="77777777" w:rsidR="00273888" w:rsidRPr="00B909EA" w:rsidRDefault="00273888" w:rsidP="00273888">
            <w:pPr>
              <w:jc w:val="center"/>
            </w:pPr>
          </w:p>
          <w:p w14:paraId="7FF80D04" w14:textId="77777777" w:rsidR="00273888" w:rsidRPr="00B909EA" w:rsidRDefault="00273888" w:rsidP="00273888">
            <w:pPr>
              <w:jc w:val="center"/>
            </w:pPr>
            <w:r w:rsidRPr="00B909EA">
              <w:t>1.208.00</w:t>
            </w:r>
          </w:p>
        </w:tc>
        <w:tc>
          <w:tcPr>
            <w:tcW w:w="4638" w:type="dxa"/>
          </w:tcPr>
          <w:p w14:paraId="6A1845B1" w14:textId="77777777" w:rsidR="00273888" w:rsidRPr="00B909EA" w:rsidRDefault="00273888" w:rsidP="00273888">
            <w:pPr>
              <w:jc w:val="both"/>
            </w:pPr>
            <w:r w:rsidRPr="00B909EA">
              <w:t>Предельная сумма выдачи денежных средств под отчет (за исключением расходов н командировки) устанавливается в размере 10 000,00 руб.</w:t>
            </w:r>
          </w:p>
        </w:tc>
        <w:tc>
          <w:tcPr>
            <w:tcW w:w="6066" w:type="dxa"/>
          </w:tcPr>
          <w:p w14:paraId="40367F3A" w14:textId="77777777" w:rsidR="00273888" w:rsidRPr="00B909EA" w:rsidRDefault="00B909EA" w:rsidP="00273888">
            <w:pPr>
              <w:jc w:val="center"/>
              <w:rPr>
                <w:shd w:val="clear" w:color="auto" w:fill="FFFFFF"/>
              </w:rPr>
            </w:pPr>
            <w:hyperlink r:id="rId43" w:anchor="/document/99/499052240/XA00LVS2MC/" w:tooltip="6. Наличные расчеты в валюте Российской Федерации и иностранной валюте между участниками наличных расчетов в рамках одного договора, заключенного между указанными лицами, могут производиться в размере, не превышающем 100 тысяч..." w:history="1">
              <w:r w:rsidR="00273888" w:rsidRPr="00B909EA">
                <w:t>Пункт 6</w:t>
              </w:r>
            </w:hyperlink>
            <w:r w:rsidR="00273888" w:rsidRPr="00B909EA">
              <w:rPr>
                <w:shd w:val="clear" w:color="auto" w:fill="FFFFFF"/>
              </w:rPr>
              <w:t> Указания Банка России от 07.10.2013 № 3073-У</w:t>
            </w:r>
          </w:p>
        </w:tc>
      </w:tr>
      <w:tr w:rsidR="00B909EA" w:rsidRPr="00B909EA" w14:paraId="4F1AF8CB" w14:textId="77777777" w:rsidTr="00090E2A">
        <w:tc>
          <w:tcPr>
            <w:tcW w:w="2451" w:type="dxa"/>
          </w:tcPr>
          <w:p w14:paraId="0BACB996" w14:textId="77777777" w:rsidR="00273888" w:rsidRPr="00B909EA" w:rsidRDefault="00273888" w:rsidP="00273888">
            <w:pPr>
              <w:jc w:val="center"/>
            </w:pPr>
            <w:r w:rsidRPr="00B909EA">
              <w:t>Размер возмещения расходов на служебные командировки</w:t>
            </w:r>
          </w:p>
        </w:tc>
        <w:tc>
          <w:tcPr>
            <w:tcW w:w="1695" w:type="dxa"/>
          </w:tcPr>
          <w:p w14:paraId="7C58776C" w14:textId="77777777" w:rsidR="00273888" w:rsidRPr="00B909EA" w:rsidRDefault="00273888" w:rsidP="00273888">
            <w:pPr>
              <w:jc w:val="center"/>
            </w:pPr>
          </w:p>
          <w:p w14:paraId="68EA5275" w14:textId="77777777" w:rsidR="00273888" w:rsidRPr="00B909EA" w:rsidRDefault="00273888" w:rsidP="00273888">
            <w:pPr>
              <w:jc w:val="center"/>
            </w:pPr>
            <w:r w:rsidRPr="00B909EA">
              <w:t>1.208.00</w:t>
            </w:r>
          </w:p>
        </w:tc>
        <w:tc>
          <w:tcPr>
            <w:tcW w:w="4638" w:type="dxa"/>
          </w:tcPr>
          <w:p w14:paraId="006A45D3" w14:textId="77777777" w:rsidR="00273888" w:rsidRPr="00B909EA" w:rsidRDefault="00273888" w:rsidP="001C3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B909EA">
              <w:t>Командирочные</w:t>
            </w:r>
            <w:proofErr w:type="spellEnd"/>
            <w:r w:rsidRPr="00B909EA">
              <w:t xml:space="preserve"> расходы принимаются в полной сумме фактически произведенных расходов, но не </w:t>
            </w:r>
            <w:proofErr w:type="gramStart"/>
            <w:r w:rsidRPr="00B909EA">
              <w:t>свыше  норм</w:t>
            </w:r>
            <w:proofErr w:type="gramEnd"/>
            <w:r w:rsidRPr="00B909EA">
              <w:t xml:space="preserve">, установленных </w:t>
            </w:r>
            <w:r w:rsidR="001C3E7D" w:rsidRPr="00B909EA">
              <w:t>приказом учреждения.</w:t>
            </w:r>
            <w:r w:rsidRPr="00B909EA">
              <w:t xml:space="preserve"> Возмещение расходов на служебные командировки, превышающих размер, установленный указанным </w:t>
            </w:r>
            <w:r w:rsidR="001C3E7D" w:rsidRPr="00B909EA">
              <w:t>приказом</w:t>
            </w:r>
            <w:r w:rsidRPr="00B909EA">
              <w:t xml:space="preserve">, производится по фактическим расходам за счет бюджетных средств с разрешения </w:t>
            </w:r>
            <w:r w:rsidR="001C3E7D" w:rsidRPr="00B909EA">
              <w:t xml:space="preserve">начальника </w:t>
            </w:r>
            <w:proofErr w:type="spellStart"/>
            <w:r w:rsidR="001C3E7D" w:rsidRPr="00B909EA">
              <w:t>терруправления</w:t>
            </w:r>
            <w:proofErr w:type="spellEnd"/>
            <w:r w:rsidRPr="00B909EA">
              <w:t xml:space="preserve"> (оформленного </w:t>
            </w:r>
            <w:r w:rsidR="001C3E7D" w:rsidRPr="00B909EA">
              <w:t>приказом</w:t>
            </w:r>
            <w:r w:rsidRPr="00B909EA">
              <w:t>).</w:t>
            </w:r>
          </w:p>
        </w:tc>
        <w:tc>
          <w:tcPr>
            <w:tcW w:w="6066" w:type="dxa"/>
          </w:tcPr>
          <w:p w14:paraId="080551AC" w14:textId="77777777" w:rsidR="00273888" w:rsidRPr="00B909EA" w:rsidRDefault="00273888" w:rsidP="00273888">
            <w:pPr>
              <w:jc w:val="center"/>
              <w:rPr>
                <w:shd w:val="clear" w:color="auto" w:fill="FFFFFF"/>
              </w:rPr>
            </w:pPr>
            <w:r w:rsidRPr="00B909EA">
              <w:rPr>
                <w:shd w:val="clear" w:color="auto" w:fill="FFFFFF"/>
              </w:rPr>
              <w:t>Пункты </w:t>
            </w:r>
            <w:hyperlink r:id="rId44" w:anchor="/document/99/901828514/XA00LTK2M0/" w:tooltip="2. Возмещение расходов в размерах, установленных пунктом 1 настоящего постановления, производится организациями в пределах ассигнований, выделенных им из федерального бюджета на служебные командировки, либо (в случа..." w:history="1">
              <w:r w:rsidRPr="00B909EA">
                <w:t>2</w:t>
              </w:r>
            </w:hyperlink>
            <w:r w:rsidRPr="00B909EA">
              <w:rPr>
                <w:shd w:val="clear" w:color="auto" w:fill="FFFFFF"/>
              </w:rPr>
              <w:t>, </w:t>
            </w:r>
            <w:hyperlink r:id="rId45" w:anchor="/document/99/901828514/XA00LU62M3/" w:tooltip="3. Расходы, превышающие размеры, установленные пунктом 1 настоящего постановления, а также иные связанные со служебными командировками расходы (при условии, что они произведены работником с разрешения или ведома работодателя..." w:history="1">
              <w:r w:rsidRPr="00B909EA">
                <w:t>3</w:t>
              </w:r>
            </w:hyperlink>
            <w:r w:rsidRPr="00B909EA">
              <w:rPr>
                <w:shd w:val="clear" w:color="auto" w:fill="FFFFFF"/>
              </w:rPr>
              <w:t> постановления Правительства от 02.10.2002 № 729.</w:t>
            </w:r>
          </w:p>
        </w:tc>
      </w:tr>
      <w:tr w:rsidR="00B909EA" w:rsidRPr="00B909EA" w14:paraId="684E9DA2" w14:textId="77777777" w:rsidTr="00090E2A">
        <w:tc>
          <w:tcPr>
            <w:tcW w:w="2451" w:type="dxa"/>
          </w:tcPr>
          <w:p w14:paraId="58C769C3" w14:textId="77777777" w:rsidR="00273888" w:rsidRPr="00B909EA" w:rsidRDefault="00273888" w:rsidP="00273888">
            <w:pPr>
              <w:jc w:val="center"/>
            </w:pPr>
            <w:r w:rsidRPr="00B909EA">
              <w:t>Документы и срок их предоставления при возвращении из командировки</w:t>
            </w:r>
          </w:p>
        </w:tc>
        <w:tc>
          <w:tcPr>
            <w:tcW w:w="1695" w:type="dxa"/>
          </w:tcPr>
          <w:p w14:paraId="7531301C" w14:textId="77777777" w:rsidR="00273888" w:rsidRPr="00B909EA" w:rsidRDefault="00273888" w:rsidP="00273888">
            <w:pPr>
              <w:jc w:val="center"/>
            </w:pPr>
          </w:p>
          <w:p w14:paraId="7B0F8CF1" w14:textId="77777777" w:rsidR="00273888" w:rsidRPr="00B909EA" w:rsidRDefault="00273888" w:rsidP="00273888">
            <w:pPr>
              <w:jc w:val="center"/>
            </w:pPr>
            <w:r w:rsidRPr="00B909EA">
              <w:t>1.208.00</w:t>
            </w:r>
          </w:p>
        </w:tc>
        <w:tc>
          <w:tcPr>
            <w:tcW w:w="4638" w:type="dxa"/>
          </w:tcPr>
          <w:p w14:paraId="1E9EF39D" w14:textId="77777777" w:rsidR="00273888" w:rsidRPr="00B909EA" w:rsidRDefault="00273888" w:rsidP="00273888">
            <w:pPr>
              <w:tabs>
                <w:tab w:val="left" w:pos="0"/>
              </w:tabs>
              <w:ind w:firstLine="709"/>
              <w:contextualSpacing/>
              <w:jc w:val="both"/>
            </w:pPr>
            <w:r w:rsidRPr="00B909EA">
              <w:t>При возвращении из командировки в течение трех рабочих дней командируемое лицо обязано заполнить Отчет о расходах подотчетного лица (ф.0504520) в электронной форме.</w:t>
            </w:r>
          </w:p>
          <w:p w14:paraId="52F47D77" w14:textId="77777777" w:rsidR="00273888" w:rsidRPr="00B909EA" w:rsidRDefault="00273888" w:rsidP="00273888">
            <w:pPr>
              <w:ind w:firstLine="709"/>
              <w:jc w:val="both"/>
            </w:pPr>
            <w:r w:rsidRPr="00B909EA">
              <w:t xml:space="preserve">Если при выдаче средств в подотчет не применялось решение о </w:t>
            </w:r>
            <w:proofErr w:type="gramStart"/>
            <w:r w:rsidRPr="00B909EA">
              <w:t>командировании(</w:t>
            </w:r>
            <w:proofErr w:type="gramEnd"/>
            <w:r w:rsidRPr="00B909EA">
              <w:t>ф.0504512) или Заявку-обоснование (ф.0504518) следует предоставить Авансовый отчет унифицированной формы № ф.0504505 с приложением подтверждающих расходы документов.</w:t>
            </w:r>
          </w:p>
        </w:tc>
        <w:tc>
          <w:tcPr>
            <w:tcW w:w="6066" w:type="dxa"/>
          </w:tcPr>
          <w:p w14:paraId="087E1740" w14:textId="77777777" w:rsidR="00273888" w:rsidRPr="00B909EA" w:rsidRDefault="00117A44" w:rsidP="00273888">
            <w:pPr>
              <w:jc w:val="center"/>
              <w:rPr>
                <w:shd w:val="clear" w:color="auto" w:fill="FFFFFF"/>
              </w:rPr>
            </w:pPr>
            <w:r w:rsidRPr="00B909EA">
              <w:rPr>
                <w:shd w:val="clear" w:color="auto" w:fill="FFFFFF"/>
              </w:rPr>
              <w:t>Постановление Правительства РФ от 16.04.2025 № 501</w:t>
            </w:r>
          </w:p>
        </w:tc>
      </w:tr>
      <w:tr w:rsidR="00B909EA" w:rsidRPr="00B909EA" w14:paraId="1D28D538" w14:textId="77777777" w:rsidTr="00090E2A">
        <w:tc>
          <w:tcPr>
            <w:tcW w:w="2451" w:type="dxa"/>
          </w:tcPr>
          <w:p w14:paraId="2B023036" w14:textId="77777777" w:rsidR="00273888" w:rsidRPr="00B909EA" w:rsidRDefault="00273888" w:rsidP="00273888">
            <w:pPr>
              <w:jc w:val="center"/>
            </w:pPr>
            <w:r w:rsidRPr="00B909EA">
              <w:lastRenderedPageBreak/>
              <w:t>Списание дебиторской задолженности, признанной сомнительной или безнадежной к взысканию</w:t>
            </w:r>
          </w:p>
        </w:tc>
        <w:tc>
          <w:tcPr>
            <w:tcW w:w="1695" w:type="dxa"/>
          </w:tcPr>
          <w:p w14:paraId="0E0051BA" w14:textId="77777777" w:rsidR="00273888" w:rsidRPr="00B909EA" w:rsidRDefault="00273888" w:rsidP="00273888">
            <w:pPr>
              <w:jc w:val="center"/>
            </w:pPr>
          </w:p>
          <w:p w14:paraId="3D4BF256" w14:textId="77777777" w:rsidR="00273888" w:rsidRPr="00B909EA" w:rsidRDefault="00273888" w:rsidP="00273888">
            <w:pPr>
              <w:jc w:val="center"/>
            </w:pPr>
            <w:r w:rsidRPr="00B909EA">
              <w:t>1.205.00</w:t>
            </w:r>
          </w:p>
          <w:p w14:paraId="259C95B3" w14:textId="77777777" w:rsidR="00273888" w:rsidRPr="00B909EA" w:rsidRDefault="00273888" w:rsidP="00273888">
            <w:pPr>
              <w:jc w:val="center"/>
            </w:pPr>
            <w:r w:rsidRPr="00B909EA">
              <w:t>1.209.00</w:t>
            </w:r>
          </w:p>
          <w:p w14:paraId="0327C04F" w14:textId="77777777" w:rsidR="00273888" w:rsidRPr="00B909EA" w:rsidRDefault="00273888" w:rsidP="00273888">
            <w:pPr>
              <w:jc w:val="center"/>
            </w:pPr>
            <w:r w:rsidRPr="00B909EA">
              <w:t>1.208.00</w:t>
            </w:r>
          </w:p>
          <w:p w14:paraId="270946BB" w14:textId="77777777" w:rsidR="00273888" w:rsidRPr="00B909EA" w:rsidRDefault="00273888" w:rsidP="00273888">
            <w:pPr>
              <w:jc w:val="center"/>
            </w:pPr>
            <w:r w:rsidRPr="00B909EA">
              <w:t>1.206.00</w:t>
            </w:r>
          </w:p>
        </w:tc>
        <w:tc>
          <w:tcPr>
            <w:tcW w:w="4638" w:type="dxa"/>
          </w:tcPr>
          <w:p w14:paraId="29EB37F9" w14:textId="77777777" w:rsidR="00273888" w:rsidRPr="00B909EA" w:rsidRDefault="00273888" w:rsidP="001C3E7D">
            <w:pPr>
              <w:widowControl w:val="0"/>
              <w:jc w:val="both"/>
            </w:pPr>
            <w:proofErr w:type="gramStart"/>
            <w:r w:rsidRPr="00B909EA">
              <w:t>Дебиторская  задолженность</w:t>
            </w:r>
            <w:proofErr w:type="gramEnd"/>
            <w:r w:rsidRPr="00B909EA">
              <w:t xml:space="preserve"> списывается с учета после того, как комиссия о признании  безнадежной к взысканию задолженности по платежам в бюджет, </w:t>
            </w:r>
            <w:r w:rsidR="001C3E7D" w:rsidRPr="00B909EA">
              <w:t>г</w:t>
            </w:r>
            <w:r w:rsidRPr="00B909EA">
              <w:t xml:space="preserve">лавным администратором которых является </w:t>
            </w:r>
            <w:r w:rsidR="001C3E7D" w:rsidRPr="00B909EA">
              <w:t>территориальное управление</w:t>
            </w:r>
            <w:r w:rsidRPr="00B909EA">
              <w:t xml:space="preserve"> города </w:t>
            </w:r>
            <w:r w:rsidR="001C3E7D" w:rsidRPr="00B909EA">
              <w:t>З</w:t>
            </w:r>
            <w:r w:rsidRPr="00B909EA">
              <w:t xml:space="preserve">аволжья    признает ее сомнительной или безнадежной к взысканию в Порядке, утвержденным </w:t>
            </w:r>
            <w:r w:rsidR="001C3E7D" w:rsidRPr="00B909EA">
              <w:t>приказом территориального управления</w:t>
            </w:r>
            <w:r w:rsidRPr="00B909EA">
              <w:t>.</w:t>
            </w:r>
          </w:p>
        </w:tc>
        <w:tc>
          <w:tcPr>
            <w:tcW w:w="6066" w:type="dxa"/>
          </w:tcPr>
          <w:p w14:paraId="3FCF133D" w14:textId="77777777" w:rsidR="00273888" w:rsidRPr="00B909EA" w:rsidRDefault="00273888" w:rsidP="00273888">
            <w:pPr>
              <w:jc w:val="center"/>
            </w:pPr>
            <w:r w:rsidRPr="00B909EA">
              <w:t>Статья 47.2 Бюджетного кодекса Российской Федерации,</w:t>
            </w:r>
          </w:p>
          <w:p w14:paraId="0621E574" w14:textId="77777777" w:rsidR="00273888" w:rsidRPr="00B909EA" w:rsidRDefault="00273888" w:rsidP="00273888">
            <w:pPr>
              <w:jc w:val="center"/>
              <w:rPr>
                <w:shd w:val="clear" w:color="auto" w:fill="FFFFFF"/>
              </w:rPr>
            </w:pPr>
            <w:r w:rsidRPr="00B909EA">
              <w:t>Постановление Правительства Российской Федерации от 06.05.2016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w:t>
            </w:r>
            <w:r w:rsidR="00117A44" w:rsidRPr="00B909EA">
              <w:t>,</w:t>
            </w:r>
          </w:p>
          <w:p w14:paraId="5D6C41E5" w14:textId="77777777" w:rsidR="00273888" w:rsidRPr="00B909EA" w:rsidRDefault="00B909EA" w:rsidP="00273888">
            <w:pPr>
              <w:jc w:val="center"/>
            </w:pPr>
            <w:hyperlink r:id="rId46" w:anchor="/document/99/542619320/XA00MB82NE/" w:tooltip="11. Сумма признанного дохода, по которому выявлена дебиторская задолженность, не исполненная должником (плательщиком) в срок и не соответствующая критериям признания актива (далее - сомнительная задолженность), корректируется с..." w:history="1">
              <w:r w:rsidR="00273888" w:rsidRPr="00B909EA">
                <w:t>пункт 11</w:t>
              </w:r>
            </w:hyperlink>
            <w:r w:rsidR="00273888" w:rsidRPr="00B909EA">
              <w:rPr>
                <w:shd w:val="clear" w:color="auto" w:fill="FFFFFF"/>
              </w:rPr>
              <w:t> СГС «Доходы»</w:t>
            </w:r>
          </w:p>
        </w:tc>
      </w:tr>
      <w:tr w:rsidR="00B909EA" w:rsidRPr="00B909EA" w14:paraId="12C103F3" w14:textId="77777777" w:rsidTr="00090E2A">
        <w:trPr>
          <w:trHeight w:val="1406"/>
        </w:trPr>
        <w:tc>
          <w:tcPr>
            <w:tcW w:w="2451" w:type="dxa"/>
          </w:tcPr>
          <w:p w14:paraId="428895D1" w14:textId="77777777" w:rsidR="00273888" w:rsidRPr="00B909EA" w:rsidRDefault="00273888" w:rsidP="00273888">
            <w:pPr>
              <w:jc w:val="center"/>
            </w:pPr>
            <w:r w:rsidRPr="00B909EA">
              <w:t>Срок исковой давности кредиторской задолженности, не востребованной кредиторами</w:t>
            </w:r>
          </w:p>
        </w:tc>
        <w:tc>
          <w:tcPr>
            <w:tcW w:w="1695" w:type="dxa"/>
          </w:tcPr>
          <w:p w14:paraId="0CE84FEA" w14:textId="77777777" w:rsidR="00273888" w:rsidRPr="00B909EA" w:rsidRDefault="00273888" w:rsidP="00273888">
            <w:pPr>
              <w:jc w:val="center"/>
            </w:pPr>
            <w:r w:rsidRPr="00B909EA">
              <w:t>1.302.00</w:t>
            </w:r>
          </w:p>
        </w:tc>
        <w:tc>
          <w:tcPr>
            <w:tcW w:w="4638" w:type="dxa"/>
          </w:tcPr>
          <w:p w14:paraId="474E8771" w14:textId="77777777" w:rsidR="00273888" w:rsidRPr="00B909EA" w:rsidRDefault="00273888" w:rsidP="00273888">
            <w:pPr>
              <w:jc w:val="center"/>
            </w:pPr>
            <w:r w:rsidRPr="00B909EA">
              <w:t>Срок исковой давности определяется в соответствии с законодательством РФ</w:t>
            </w:r>
          </w:p>
        </w:tc>
        <w:tc>
          <w:tcPr>
            <w:tcW w:w="6066" w:type="dxa"/>
          </w:tcPr>
          <w:p w14:paraId="2AAEE62D" w14:textId="77777777" w:rsidR="00273888" w:rsidRPr="00B909EA" w:rsidRDefault="00117A44" w:rsidP="00117A44">
            <w:pPr>
              <w:jc w:val="center"/>
              <w:rPr>
                <w:shd w:val="clear" w:color="auto" w:fill="FFFFFF"/>
              </w:rPr>
            </w:pPr>
            <w:r w:rsidRPr="00B909EA">
              <w:rPr>
                <w:shd w:val="clear" w:color="auto" w:fill="FFFFFF"/>
              </w:rPr>
              <w:t>Статьи </w:t>
            </w:r>
            <w:hyperlink r:id="rId47" w:history="1">
              <w:r w:rsidRPr="00B909EA">
                <w:rPr>
                  <w:u w:val="single"/>
                </w:rPr>
                <w:t>196–197</w:t>
              </w:r>
            </w:hyperlink>
            <w:r w:rsidRPr="00B909EA">
              <w:rPr>
                <w:shd w:val="clear" w:color="auto" w:fill="FFFFFF"/>
              </w:rPr>
              <w:t>, </w:t>
            </w:r>
            <w:hyperlink r:id="rId48" w:history="1">
              <w:r w:rsidRPr="00B909EA">
                <w:rPr>
                  <w:u w:val="single"/>
                </w:rPr>
                <w:t>203</w:t>
              </w:r>
            </w:hyperlink>
            <w:r w:rsidRPr="00B909EA">
              <w:rPr>
                <w:shd w:val="clear" w:color="auto" w:fill="FFFFFF"/>
              </w:rPr>
              <w:t>, </w:t>
            </w:r>
            <w:hyperlink r:id="rId49" w:history="1">
              <w:r w:rsidRPr="00B909EA">
                <w:rPr>
                  <w:u w:val="single"/>
                </w:rPr>
                <w:t>пункте 2</w:t>
              </w:r>
            </w:hyperlink>
            <w:r w:rsidRPr="00B909EA">
              <w:rPr>
                <w:shd w:val="clear" w:color="auto" w:fill="FFFFFF"/>
              </w:rPr>
              <w:t> статьи 181, </w:t>
            </w:r>
            <w:hyperlink r:id="rId50" w:history="1">
              <w:r w:rsidRPr="00B909EA">
                <w:rPr>
                  <w:u w:val="single"/>
                </w:rPr>
                <w:t>пункте 3</w:t>
              </w:r>
            </w:hyperlink>
            <w:r w:rsidRPr="00B909EA">
              <w:rPr>
                <w:shd w:val="clear" w:color="auto" w:fill="FFFFFF"/>
              </w:rPr>
              <w:t> статьи 250 ГК.</w:t>
            </w:r>
          </w:p>
        </w:tc>
      </w:tr>
      <w:tr w:rsidR="00B909EA" w:rsidRPr="00B909EA" w14:paraId="4EA17C16" w14:textId="77777777" w:rsidTr="00090E2A">
        <w:tc>
          <w:tcPr>
            <w:tcW w:w="2451" w:type="dxa"/>
          </w:tcPr>
          <w:p w14:paraId="11C12C37" w14:textId="77777777" w:rsidR="00273888" w:rsidRPr="00B909EA" w:rsidRDefault="00273888" w:rsidP="00273888">
            <w:pPr>
              <w:jc w:val="center"/>
            </w:pPr>
            <w:r w:rsidRPr="00B909EA">
              <w:t>Срок учета списанной кредиторской задолженности на забалансовом счете</w:t>
            </w:r>
          </w:p>
        </w:tc>
        <w:tc>
          <w:tcPr>
            <w:tcW w:w="1695" w:type="dxa"/>
          </w:tcPr>
          <w:p w14:paraId="3AC9F087" w14:textId="77777777" w:rsidR="00273888" w:rsidRPr="00B909EA" w:rsidRDefault="00273888" w:rsidP="00273888">
            <w:pPr>
              <w:jc w:val="center"/>
            </w:pPr>
            <w:r w:rsidRPr="00B909EA">
              <w:t>1.20.00</w:t>
            </w:r>
          </w:p>
        </w:tc>
        <w:tc>
          <w:tcPr>
            <w:tcW w:w="4638" w:type="dxa"/>
          </w:tcPr>
          <w:p w14:paraId="701D4DDF" w14:textId="77777777" w:rsidR="00273888" w:rsidRPr="00B909EA" w:rsidRDefault="00273888" w:rsidP="00273888">
            <w:pPr>
              <w:pStyle w:val="a5"/>
              <w:spacing w:before="0" w:beforeAutospacing="0" w:after="120" w:afterAutospacing="0"/>
            </w:pPr>
            <w:r w:rsidRPr="00B909EA">
              <w:t>По истечении </w:t>
            </w:r>
            <w:r w:rsidRPr="00B909EA">
              <w:rPr>
                <w:rStyle w:val="fill"/>
                <w:i/>
                <w:iCs/>
                <w:shd w:val="clear" w:color="auto" w:fill="FFFFCC"/>
              </w:rPr>
              <w:t>пяти</w:t>
            </w:r>
            <w:r w:rsidRPr="00B909EA">
              <w:t> лет отражения задолженности на забалансовом учете</w:t>
            </w:r>
          </w:p>
          <w:p w14:paraId="2F415441" w14:textId="77777777" w:rsidR="00273888" w:rsidRPr="00B909EA" w:rsidRDefault="00273888" w:rsidP="00273888">
            <w:pPr>
              <w:jc w:val="center"/>
            </w:pPr>
          </w:p>
        </w:tc>
        <w:tc>
          <w:tcPr>
            <w:tcW w:w="6066" w:type="dxa"/>
          </w:tcPr>
          <w:p w14:paraId="784A1F58" w14:textId="77777777" w:rsidR="00273888" w:rsidRPr="00B909EA" w:rsidRDefault="006D617F" w:rsidP="006D617F">
            <w:pPr>
              <w:jc w:val="center"/>
              <w:rPr>
                <w:shd w:val="clear" w:color="auto" w:fill="FFFFFF"/>
              </w:rPr>
            </w:pPr>
            <w:r w:rsidRPr="00B909EA">
              <w:t>Гражданский кодекс,</w:t>
            </w:r>
            <w:r w:rsidRPr="00B909EA">
              <w:rPr>
                <w:shd w:val="clear" w:color="auto" w:fill="FFFFFF"/>
              </w:rPr>
              <w:t> </w:t>
            </w:r>
            <w:hyperlink r:id="rId51" w:history="1">
              <w:r w:rsidRPr="00B909EA">
                <w:t>Закон от 06.12.2011 № 402-ФЗ «О бухгалтерском учете»</w:t>
              </w:r>
            </w:hyperlink>
            <w:r w:rsidRPr="00B909EA">
              <w:rPr>
                <w:shd w:val="clear" w:color="auto" w:fill="FFFFFF"/>
              </w:rPr>
              <w:t>.</w:t>
            </w:r>
          </w:p>
        </w:tc>
      </w:tr>
      <w:tr w:rsidR="00B909EA" w:rsidRPr="00B909EA" w14:paraId="50A1E8C6" w14:textId="77777777" w:rsidTr="00090E2A">
        <w:tc>
          <w:tcPr>
            <w:tcW w:w="2451" w:type="dxa"/>
          </w:tcPr>
          <w:p w14:paraId="2422416B" w14:textId="77777777" w:rsidR="00273888" w:rsidRPr="00B909EA" w:rsidRDefault="00273888" w:rsidP="00273888">
            <w:pPr>
              <w:jc w:val="center"/>
            </w:pPr>
            <w:r w:rsidRPr="00B909EA">
              <w:t>Финансовый результат</w:t>
            </w:r>
          </w:p>
          <w:p w14:paraId="51346F26" w14:textId="77777777" w:rsidR="00273888" w:rsidRPr="00B909EA" w:rsidRDefault="00273888" w:rsidP="00273888">
            <w:pPr>
              <w:jc w:val="center"/>
            </w:pPr>
            <w:r w:rsidRPr="00B909EA">
              <w:t xml:space="preserve">Доходы от предоставления права пользования активом (арендная плата) </w:t>
            </w:r>
          </w:p>
        </w:tc>
        <w:tc>
          <w:tcPr>
            <w:tcW w:w="1695" w:type="dxa"/>
          </w:tcPr>
          <w:p w14:paraId="6398F75E" w14:textId="77777777" w:rsidR="00273888" w:rsidRPr="00B909EA" w:rsidRDefault="00273888" w:rsidP="00273888">
            <w:pPr>
              <w:jc w:val="center"/>
            </w:pPr>
            <w:r w:rsidRPr="00B909EA">
              <w:t>1.401.10</w:t>
            </w:r>
          </w:p>
        </w:tc>
        <w:tc>
          <w:tcPr>
            <w:tcW w:w="4638" w:type="dxa"/>
          </w:tcPr>
          <w:p w14:paraId="7E56C6EF" w14:textId="77777777" w:rsidR="00273888" w:rsidRPr="00B909EA" w:rsidRDefault="00273888" w:rsidP="00273888">
            <w:pPr>
              <w:jc w:val="both"/>
            </w:pPr>
            <w:r w:rsidRPr="00B909EA">
              <w:rPr>
                <w:shd w:val="clear" w:color="auto" w:fill="FFFFFF"/>
              </w:rPr>
              <w:t>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tc>
        <w:tc>
          <w:tcPr>
            <w:tcW w:w="6066" w:type="dxa"/>
          </w:tcPr>
          <w:p w14:paraId="621AAD57" w14:textId="77777777" w:rsidR="00273888" w:rsidRPr="00B909EA" w:rsidRDefault="00273888" w:rsidP="00273888">
            <w:pPr>
              <w:spacing w:after="120"/>
            </w:pPr>
            <w:r w:rsidRPr="00B909EA">
              <w:t>П</w:t>
            </w:r>
            <w:hyperlink r:id="rId52" w:anchor="/document/99/420389699/XA00MB02NA/" w:tooltip="25. Доходы от предоставления права пользования активом признаются доходами текущего финансового года в составе доходов от собственности, обособляемых на соответствующих счетах Рабочего плана счетов субъекта учета, с одновременным..." w:history="1">
              <w:r w:rsidRPr="00B909EA">
                <w:t>ункт 25</w:t>
              </w:r>
            </w:hyperlink>
            <w:r w:rsidRPr="00B909EA">
              <w:t> СГС «Аренда», </w:t>
            </w:r>
            <w:hyperlink r:id="rId53" w:anchor="/document/99/542619320/XA00M9A2N9/" w:tooltip="а) о положениях учетной политики, устанавливающих особенности признания доходов субъектом учета;" w:history="1">
              <w:r w:rsidRPr="00B909EA">
                <w:t>подпункт «а»</w:t>
              </w:r>
            </w:hyperlink>
            <w:r w:rsidRPr="00B909EA">
              <w:t> пункта 55 СГС «Доходы».</w:t>
            </w:r>
          </w:p>
          <w:p w14:paraId="3478DFD0" w14:textId="77777777" w:rsidR="00273888" w:rsidRPr="00B909EA" w:rsidRDefault="00273888" w:rsidP="00273888">
            <w:pPr>
              <w:spacing w:after="120"/>
            </w:pPr>
            <w:r w:rsidRPr="00B909EA">
              <w:t> </w:t>
            </w:r>
          </w:p>
          <w:p w14:paraId="1C2EF60C" w14:textId="77777777" w:rsidR="00273888" w:rsidRPr="00B909EA" w:rsidRDefault="00273888" w:rsidP="00273888">
            <w:pPr>
              <w:jc w:val="center"/>
              <w:rPr>
                <w:shd w:val="clear" w:color="auto" w:fill="FFFFFF"/>
              </w:rPr>
            </w:pPr>
          </w:p>
        </w:tc>
      </w:tr>
      <w:tr w:rsidR="00B909EA" w:rsidRPr="00B909EA" w14:paraId="6DCB2966" w14:textId="77777777" w:rsidTr="00090E2A">
        <w:tc>
          <w:tcPr>
            <w:tcW w:w="2451" w:type="dxa"/>
          </w:tcPr>
          <w:p w14:paraId="6E6BD988" w14:textId="77777777" w:rsidR="009134B0" w:rsidRPr="00B909EA" w:rsidRDefault="009134B0" w:rsidP="00273888">
            <w:pPr>
              <w:jc w:val="center"/>
            </w:pPr>
            <w:r w:rsidRPr="00B909EA">
              <w:t xml:space="preserve">Финансовый результат </w:t>
            </w:r>
          </w:p>
          <w:p w14:paraId="3A851BEF" w14:textId="77777777" w:rsidR="009134B0" w:rsidRPr="00B909EA" w:rsidRDefault="009134B0" w:rsidP="00273888">
            <w:pPr>
              <w:jc w:val="center"/>
            </w:pPr>
            <w:r w:rsidRPr="00B909EA">
              <w:t>Виды доходов будущих периодов</w:t>
            </w:r>
          </w:p>
        </w:tc>
        <w:tc>
          <w:tcPr>
            <w:tcW w:w="1695" w:type="dxa"/>
          </w:tcPr>
          <w:p w14:paraId="1F8D7E76" w14:textId="77777777" w:rsidR="009134B0" w:rsidRPr="00B909EA" w:rsidRDefault="009134B0" w:rsidP="00273888">
            <w:pPr>
              <w:jc w:val="center"/>
            </w:pPr>
            <w:r w:rsidRPr="00B909EA">
              <w:t>1.401.40</w:t>
            </w:r>
          </w:p>
        </w:tc>
        <w:tc>
          <w:tcPr>
            <w:tcW w:w="4638" w:type="dxa"/>
          </w:tcPr>
          <w:p w14:paraId="12393828" w14:textId="77777777" w:rsidR="009134B0" w:rsidRPr="00B909EA" w:rsidRDefault="006267D1" w:rsidP="009134B0">
            <w:pPr>
              <w:numPr>
                <w:ilvl w:val="0"/>
                <w:numId w:val="7"/>
              </w:numPr>
              <w:ind w:left="0"/>
            </w:pPr>
            <w:r w:rsidRPr="00B909EA">
              <w:t>- О</w:t>
            </w:r>
            <w:r w:rsidR="009134B0" w:rsidRPr="00B909EA">
              <w:t>т операций с объектами аренды (предстоящие доходы от предоставления права пользования активом);</w:t>
            </w:r>
          </w:p>
          <w:p w14:paraId="382C0E5B" w14:textId="77777777" w:rsidR="009134B0" w:rsidRPr="00B909EA" w:rsidRDefault="006267D1" w:rsidP="00E97610">
            <w:pPr>
              <w:numPr>
                <w:ilvl w:val="0"/>
                <w:numId w:val="7"/>
              </w:numPr>
              <w:ind w:left="0"/>
            </w:pPr>
            <w:r w:rsidRPr="00B909EA">
              <w:t xml:space="preserve">- </w:t>
            </w:r>
            <w:r w:rsidR="009134B0" w:rsidRPr="00B909EA">
              <w:t>иные аналогичные доходы.</w:t>
            </w:r>
          </w:p>
          <w:p w14:paraId="0D2F78E7" w14:textId="77777777" w:rsidR="009134B0" w:rsidRPr="00B909EA" w:rsidRDefault="009134B0" w:rsidP="00273888">
            <w:pPr>
              <w:jc w:val="both"/>
            </w:pPr>
          </w:p>
        </w:tc>
        <w:tc>
          <w:tcPr>
            <w:tcW w:w="6066" w:type="dxa"/>
          </w:tcPr>
          <w:p w14:paraId="713DE01A" w14:textId="77777777" w:rsidR="009134B0" w:rsidRPr="00B909EA" w:rsidRDefault="009134B0" w:rsidP="006D617F">
            <w:pPr>
              <w:jc w:val="center"/>
            </w:pPr>
          </w:p>
        </w:tc>
      </w:tr>
      <w:tr w:rsidR="00B909EA" w:rsidRPr="00B909EA" w14:paraId="67DDCD99" w14:textId="77777777" w:rsidTr="00090E2A">
        <w:tc>
          <w:tcPr>
            <w:tcW w:w="2451" w:type="dxa"/>
          </w:tcPr>
          <w:p w14:paraId="260013E2" w14:textId="77777777" w:rsidR="009134B0" w:rsidRPr="00B909EA" w:rsidRDefault="00273888" w:rsidP="00273888">
            <w:pPr>
              <w:jc w:val="center"/>
            </w:pPr>
            <w:r w:rsidRPr="00B909EA">
              <w:lastRenderedPageBreak/>
              <w:t xml:space="preserve">Финансовый </w:t>
            </w:r>
          </w:p>
          <w:p w14:paraId="6C07993E" w14:textId="77777777" w:rsidR="00273888" w:rsidRPr="00B909EA" w:rsidRDefault="00273888" w:rsidP="00273888">
            <w:pPr>
              <w:jc w:val="center"/>
            </w:pPr>
            <w:r w:rsidRPr="00B909EA">
              <w:t>результат</w:t>
            </w:r>
          </w:p>
          <w:p w14:paraId="7A8EDF0C" w14:textId="77777777" w:rsidR="00273888" w:rsidRPr="00B909EA" w:rsidRDefault="00273888" w:rsidP="00273888">
            <w:pPr>
              <w:jc w:val="center"/>
            </w:pPr>
            <w:r w:rsidRPr="00B909EA">
              <w:rPr>
                <w:shd w:val="clear" w:color="auto" w:fill="FFFFFF"/>
              </w:rPr>
              <w:t>Виды расходов будущих периодов</w:t>
            </w:r>
          </w:p>
        </w:tc>
        <w:tc>
          <w:tcPr>
            <w:tcW w:w="1695" w:type="dxa"/>
          </w:tcPr>
          <w:p w14:paraId="560FD58E" w14:textId="77777777" w:rsidR="00273888" w:rsidRPr="00B909EA" w:rsidRDefault="00273888" w:rsidP="00273888">
            <w:pPr>
              <w:jc w:val="center"/>
            </w:pPr>
            <w:r w:rsidRPr="00B909EA">
              <w:t>1.401.50</w:t>
            </w:r>
          </w:p>
        </w:tc>
        <w:tc>
          <w:tcPr>
            <w:tcW w:w="4638" w:type="dxa"/>
          </w:tcPr>
          <w:p w14:paraId="38808EB7" w14:textId="77777777" w:rsidR="00273888" w:rsidRPr="00B909EA" w:rsidRDefault="00273888" w:rsidP="00273888">
            <w:pPr>
              <w:jc w:val="both"/>
            </w:pPr>
            <w:r w:rsidRPr="00B909EA">
              <w:t>В составе расходов будущих периодов на счете КБК Х.401.50.000 «Расходы будущих периодов» отражаются расходы по:</w:t>
            </w:r>
          </w:p>
          <w:p w14:paraId="36EFCC10" w14:textId="77777777" w:rsidR="00273888" w:rsidRPr="00B909EA" w:rsidRDefault="00273888" w:rsidP="00273888">
            <w:pPr>
              <w:numPr>
                <w:ilvl w:val="0"/>
                <w:numId w:val="3"/>
              </w:numPr>
              <w:jc w:val="both"/>
            </w:pPr>
            <w:r w:rsidRPr="00B909EA">
              <w:t>страхованию имущества, гражданской ответственности;</w:t>
            </w:r>
          </w:p>
          <w:p w14:paraId="28744387" w14:textId="77777777" w:rsidR="00273888" w:rsidRPr="00B909EA" w:rsidRDefault="00273888" w:rsidP="00273888">
            <w:pPr>
              <w:numPr>
                <w:ilvl w:val="0"/>
                <w:numId w:val="3"/>
              </w:numPr>
              <w:jc w:val="both"/>
            </w:pPr>
            <w:r w:rsidRPr="00B909EA">
              <w:t>отпускным, если сотрудник не отработал период, за который предоставили отпуск;</w:t>
            </w:r>
          </w:p>
          <w:p w14:paraId="0F4F50FC" w14:textId="77777777" w:rsidR="00273888" w:rsidRPr="00B909EA" w:rsidRDefault="00273888" w:rsidP="00273888">
            <w:pPr>
              <w:widowControl w:val="0"/>
              <w:numPr>
                <w:ilvl w:val="0"/>
                <w:numId w:val="3"/>
              </w:numPr>
              <w:autoSpaceDE w:val="0"/>
              <w:autoSpaceDN w:val="0"/>
              <w:adjustRightInd w:val="0"/>
              <w:jc w:val="both"/>
              <w:rPr>
                <w:strike/>
              </w:rPr>
            </w:pPr>
            <w:r w:rsidRPr="00B909EA">
              <w:t>плату за сертификат ключа ЭЦП;</w:t>
            </w:r>
          </w:p>
          <w:p w14:paraId="70E29D33" w14:textId="77777777" w:rsidR="00273888" w:rsidRPr="00B909EA" w:rsidRDefault="00273888" w:rsidP="00273888">
            <w:pPr>
              <w:widowControl w:val="0"/>
              <w:numPr>
                <w:ilvl w:val="0"/>
                <w:numId w:val="3"/>
              </w:numPr>
              <w:autoSpaceDE w:val="0"/>
              <w:autoSpaceDN w:val="0"/>
              <w:adjustRightInd w:val="0"/>
              <w:jc w:val="both"/>
              <w:rPr>
                <w:strike/>
              </w:rPr>
            </w:pPr>
            <w:r w:rsidRPr="00B909EA">
              <w:t>упущенная выгода от сдачи объектов в аренду на льготных условиях;</w:t>
            </w:r>
          </w:p>
          <w:p w14:paraId="40B59C92" w14:textId="77777777" w:rsidR="00273888" w:rsidRPr="00B909EA" w:rsidRDefault="00273888" w:rsidP="00273888">
            <w:pPr>
              <w:widowControl w:val="0"/>
              <w:numPr>
                <w:ilvl w:val="0"/>
                <w:numId w:val="3"/>
              </w:numPr>
              <w:autoSpaceDE w:val="0"/>
              <w:autoSpaceDN w:val="0"/>
              <w:adjustRightInd w:val="0"/>
              <w:jc w:val="both"/>
              <w:rPr>
                <w:strike/>
              </w:rPr>
            </w:pPr>
            <w:r w:rsidRPr="00B909EA">
              <w:t>расходы на неисключительные права на нематериальные активы со сроком 12 месяцев и менее, если срок действия договора выходит за пределы текущего года;</w:t>
            </w:r>
          </w:p>
          <w:p w14:paraId="12446E60" w14:textId="77777777" w:rsidR="00273888" w:rsidRPr="00B909EA" w:rsidRDefault="00273888" w:rsidP="00273888">
            <w:pPr>
              <w:widowControl w:val="0"/>
              <w:numPr>
                <w:ilvl w:val="0"/>
                <w:numId w:val="3"/>
              </w:numPr>
              <w:autoSpaceDE w:val="0"/>
              <w:autoSpaceDN w:val="0"/>
              <w:adjustRightInd w:val="0"/>
              <w:jc w:val="both"/>
            </w:pPr>
            <w:r w:rsidRPr="00B909EA">
              <w:t>иные аналогичные расходы.</w:t>
            </w:r>
          </w:p>
        </w:tc>
        <w:tc>
          <w:tcPr>
            <w:tcW w:w="6066" w:type="dxa"/>
          </w:tcPr>
          <w:p w14:paraId="664B0A7A" w14:textId="77777777" w:rsidR="00273888" w:rsidRPr="00B909EA" w:rsidRDefault="00273888" w:rsidP="006D617F">
            <w:pPr>
              <w:jc w:val="center"/>
              <w:rPr>
                <w:shd w:val="clear" w:color="auto" w:fill="FFFFFF"/>
              </w:rPr>
            </w:pPr>
          </w:p>
        </w:tc>
      </w:tr>
      <w:tr w:rsidR="00B909EA" w:rsidRPr="00B909EA" w14:paraId="65E10814" w14:textId="77777777" w:rsidTr="00090E2A">
        <w:tc>
          <w:tcPr>
            <w:tcW w:w="2451" w:type="dxa"/>
          </w:tcPr>
          <w:p w14:paraId="43255A45" w14:textId="77777777" w:rsidR="00273888" w:rsidRPr="00B909EA" w:rsidRDefault="00273888" w:rsidP="00273888">
            <w:pPr>
              <w:jc w:val="center"/>
            </w:pPr>
            <w:r w:rsidRPr="00B909EA">
              <w:t>Финансовый результат</w:t>
            </w:r>
          </w:p>
          <w:p w14:paraId="0B04F44B" w14:textId="77777777" w:rsidR="00273888" w:rsidRPr="00B909EA" w:rsidRDefault="00273888" w:rsidP="00273888">
            <w:pPr>
              <w:jc w:val="center"/>
            </w:pPr>
            <w:r w:rsidRPr="00B909EA">
              <w:t>Способы списания расходов будущих периодов</w:t>
            </w:r>
          </w:p>
        </w:tc>
        <w:tc>
          <w:tcPr>
            <w:tcW w:w="1695" w:type="dxa"/>
          </w:tcPr>
          <w:p w14:paraId="581C91F3" w14:textId="77777777" w:rsidR="00273888" w:rsidRPr="00B909EA" w:rsidRDefault="00273888" w:rsidP="00273888">
            <w:pPr>
              <w:jc w:val="center"/>
            </w:pPr>
            <w:r w:rsidRPr="00B909EA">
              <w:t>1.401.50</w:t>
            </w:r>
          </w:p>
        </w:tc>
        <w:tc>
          <w:tcPr>
            <w:tcW w:w="4638" w:type="dxa"/>
          </w:tcPr>
          <w:p w14:paraId="5B17F3AA" w14:textId="77777777" w:rsidR="00273888" w:rsidRPr="00B909EA" w:rsidRDefault="00273888" w:rsidP="00273888">
            <w:pPr>
              <w:jc w:val="both"/>
              <w:rPr>
                <w:shd w:val="clear" w:color="auto" w:fill="FFFFFF"/>
              </w:rPr>
            </w:pPr>
            <w:r w:rsidRPr="00B909EA">
              <w:rPr>
                <w:shd w:val="clear" w:color="auto" w:fill="FFFFFF"/>
              </w:rPr>
              <w:t xml:space="preserve">Расходы будущих периодов списываются на финансовый результат текущего финансового года равномерно, по 1/12 за месяц в течение периода, к которому </w:t>
            </w:r>
            <w:proofErr w:type="gramStart"/>
            <w:r w:rsidRPr="00B909EA">
              <w:rPr>
                <w:shd w:val="clear" w:color="auto" w:fill="FFFFFF"/>
              </w:rPr>
              <w:t>они  относятся</w:t>
            </w:r>
            <w:proofErr w:type="gramEnd"/>
            <w:r w:rsidRPr="00B909EA">
              <w:rPr>
                <w:shd w:val="clear" w:color="auto" w:fill="FFFFFF"/>
              </w:rPr>
              <w:t>.</w:t>
            </w:r>
          </w:p>
          <w:p w14:paraId="40EB992C"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 xml:space="preserve">По договорам страхования период, к которому относятся расходы, равен сроку действия договора. </w:t>
            </w:r>
          </w:p>
        </w:tc>
        <w:tc>
          <w:tcPr>
            <w:tcW w:w="6066" w:type="dxa"/>
          </w:tcPr>
          <w:p w14:paraId="296013B6" w14:textId="69397B56" w:rsidR="00273888" w:rsidRPr="00B909EA" w:rsidRDefault="00273888" w:rsidP="0027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B909EA" w:rsidRPr="00B909EA" w14:paraId="03F4087E" w14:textId="77777777" w:rsidTr="00090E2A">
        <w:tc>
          <w:tcPr>
            <w:tcW w:w="2451" w:type="dxa"/>
          </w:tcPr>
          <w:p w14:paraId="04FFD4BD" w14:textId="77777777" w:rsidR="00273888" w:rsidRPr="00B909EA" w:rsidRDefault="00273888" w:rsidP="00273888">
            <w:pPr>
              <w:jc w:val="center"/>
            </w:pPr>
            <w:r w:rsidRPr="00B909EA">
              <w:t>Доходы от необменных операций.</w:t>
            </w:r>
          </w:p>
          <w:p w14:paraId="65911898" w14:textId="77777777" w:rsidR="00273888" w:rsidRPr="00B909EA" w:rsidRDefault="00273888" w:rsidP="00273888">
            <w:pPr>
              <w:jc w:val="center"/>
            </w:pPr>
            <w:r w:rsidRPr="00B909EA">
              <w:t>Безвозмездно полученные работы и услуги</w:t>
            </w:r>
          </w:p>
        </w:tc>
        <w:tc>
          <w:tcPr>
            <w:tcW w:w="1695" w:type="dxa"/>
          </w:tcPr>
          <w:p w14:paraId="0A69796E" w14:textId="77777777" w:rsidR="00273888" w:rsidRPr="00B909EA" w:rsidRDefault="00273888" w:rsidP="00273888">
            <w:pPr>
              <w:jc w:val="center"/>
            </w:pPr>
            <w:r w:rsidRPr="00B909EA">
              <w:t>1.205.00</w:t>
            </w:r>
          </w:p>
        </w:tc>
        <w:tc>
          <w:tcPr>
            <w:tcW w:w="4638" w:type="dxa"/>
          </w:tcPr>
          <w:p w14:paraId="0B642E41" w14:textId="77777777" w:rsidR="00273888" w:rsidRPr="00B909EA" w:rsidRDefault="00273888" w:rsidP="0027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 xml:space="preserve">В случае выполнения работ (оказания услуг) для нужд учреждения физическими и юридическими лицами на безвозмездной основе сотрудник учреждения, ответственный за данный факт хозяйственной жизни, в десятидневный срок по окончании работ (услуг) со </w:t>
            </w:r>
            <w:r w:rsidRPr="00B909EA">
              <w:lastRenderedPageBreak/>
              <w:t>стороны жертвователя представляет в бухгалтерию учреждения акт о выполнении работ содержащий информацию о виде работ (услуг), исполнителе, объеме выполненных работ (услуг) и рыночной оценке.</w:t>
            </w:r>
          </w:p>
        </w:tc>
        <w:tc>
          <w:tcPr>
            <w:tcW w:w="6066" w:type="dxa"/>
          </w:tcPr>
          <w:p w14:paraId="1D4F3D6C" w14:textId="77777777" w:rsidR="00273888" w:rsidRPr="00B909EA" w:rsidRDefault="00273888" w:rsidP="00273888">
            <w:pPr>
              <w:rPr>
                <w:shd w:val="clear" w:color="auto" w:fill="FFFFFF"/>
              </w:rPr>
            </w:pPr>
            <w:r w:rsidRPr="00B909EA">
              <w:lastRenderedPageBreak/>
              <w:t>Основание: п.43 и 55 СГС «Доходы».</w:t>
            </w:r>
          </w:p>
        </w:tc>
      </w:tr>
      <w:tr w:rsidR="00B909EA" w:rsidRPr="00B909EA" w14:paraId="630ED9F6" w14:textId="77777777" w:rsidTr="00090E2A">
        <w:tc>
          <w:tcPr>
            <w:tcW w:w="2451" w:type="dxa"/>
          </w:tcPr>
          <w:p w14:paraId="43F67C5A" w14:textId="77777777" w:rsidR="00273888" w:rsidRPr="00B909EA" w:rsidRDefault="00273888" w:rsidP="00273888">
            <w:pPr>
              <w:jc w:val="center"/>
            </w:pPr>
            <w:proofErr w:type="gramStart"/>
            <w:r w:rsidRPr="00B909EA">
              <w:t>Финансовый  результат</w:t>
            </w:r>
            <w:proofErr w:type="gramEnd"/>
          </w:p>
          <w:p w14:paraId="620D5379" w14:textId="77777777" w:rsidR="00273888" w:rsidRPr="00B909EA" w:rsidRDefault="00273888" w:rsidP="00273888">
            <w:pPr>
              <w:jc w:val="center"/>
            </w:pPr>
            <w:r w:rsidRPr="00B909EA">
              <w:t>Виды резервов предстоящих расходов</w:t>
            </w:r>
          </w:p>
          <w:p w14:paraId="34482D70" w14:textId="77777777" w:rsidR="00273888" w:rsidRPr="00B909EA" w:rsidRDefault="00273888" w:rsidP="00273888">
            <w:pPr>
              <w:jc w:val="center"/>
            </w:pPr>
          </w:p>
        </w:tc>
        <w:tc>
          <w:tcPr>
            <w:tcW w:w="1695" w:type="dxa"/>
          </w:tcPr>
          <w:p w14:paraId="5003EB6B" w14:textId="77777777" w:rsidR="00273888" w:rsidRPr="00B909EA" w:rsidRDefault="00273888" w:rsidP="00273888">
            <w:pPr>
              <w:jc w:val="center"/>
              <w:rPr>
                <w:lang w:val="en-US"/>
              </w:rPr>
            </w:pPr>
            <w:r w:rsidRPr="00B909EA">
              <w:rPr>
                <w:lang w:val="en-US"/>
              </w:rPr>
              <w:t>1.401.60</w:t>
            </w:r>
          </w:p>
        </w:tc>
        <w:tc>
          <w:tcPr>
            <w:tcW w:w="4638" w:type="dxa"/>
          </w:tcPr>
          <w:p w14:paraId="416B3785"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В учреждении создаются следующие виды резервов предстоящих расходов:</w:t>
            </w:r>
          </w:p>
          <w:p w14:paraId="493DC661"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hanging="424"/>
              <w:jc w:val="both"/>
            </w:pPr>
            <w:r w:rsidRPr="00B909EA">
              <w:t xml:space="preserve"> – резерв предстоящих расходов по выплатам персоналу;</w:t>
            </w:r>
          </w:p>
          <w:p w14:paraId="61F041A4" w14:textId="77777777" w:rsidR="00273888" w:rsidRPr="00B909EA" w:rsidRDefault="00273888" w:rsidP="00273888">
            <w:pPr>
              <w:widowControl w:val="0"/>
              <w:autoSpaceDE w:val="0"/>
              <w:autoSpaceDN w:val="0"/>
              <w:adjustRightInd w:val="0"/>
              <w:jc w:val="both"/>
            </w:pPr>
            <w:r w:rsidRPr="00B909EA">
              <w:t>– резерв по претензионным требованиям – при необходимости;</w:t>
            </w:r>
          </w:p>
          <w:p w14:paraId="59131894" w14:textId="77777777" w:rsidR="00A11CD4" w:rsidRPr="00B909EA" w:rsidRDefault="00A11CD4" w:rsidP="00273888">
            <w:pPr>
              <w:widowControl w:val="0"/>
              <w:autoSpaceDE w:val="0"/>
              <w:autoSpaceDN w:val="0"/>
              <w:adjustRightInd w:val="0"/>
              <w:jc w:val="both"/>
            </w:pPr>
            <w:r w:rsidRPr="00B909EA">
              <w:t>-резерв по обязательствам при приемке результатов контрактов в ЕИС в сфере закупок;</w:t>
            </w:r>
          </w:p>
          <w:p w14:paraId="4CA2C41A" w14:textId="77777777" w:rsidR="00273888" w:rsidRPr="00B909EA" w:rsidRDefault="00273888" w:rsidP="00273888">
            <w:pPr>
              <w:widowControl w:val="0"/>
              <w:autoSpaceDE w:val="0"/>
              <w:autoSpaceDN w:val="0"/>
              <w:adjustRightInd w:val="0"/>
              <w:jc w:val="both"/>
            </w:pPr>
            <w:r w:rsidRPr="00B909EA">
              <w:t>-  резерв по сомнительным долгам;</w:t>
            </w:r>
          </w:p>
          <w:p w14:paraId="1B49E739" w14:textId="77777777" w:rsidR="00273888" w:rsidRPr="00B909EA" w:rsidRDefault="00273888" w:rsidP="00273888">
            <w:pPr>
              <w:widowControl w:val="0"/>
              <w:autoSpaceDE w:val="0"/>
              <w:autoSpaceDN w:val="0"/>
              <w:adjustRightInd w:val="0"/>
              <w:jc w:val="both"/>
            </w:pPr>
            <w:r w:rsidRPr="00B909EA">
              <w:t xml:space="preserve"> - резервы на оплату обязательств, по которым не поступили расчетные документы.</w:t>
            </w:r>
          </w:p>
          <w:p w14:paraId="7D383E02" w14:textId="77777777" w:rsidR="00273888" w:rsidRPr="00B909EA" w:rsidRDefault="00273888" w:rsidP="00273888">
            <w:pPr>
              <w:pStyle w:val="ConsPlusNormal"/>
              <w:ind w:firstLine="0"/>
              <w:jc w:val="both"/>
              <w:rPr>
                <w:rFonts w:ascii="Times New Roman" w:hAnsi="Times New Roman" w:cs="Times New Roman"/>
                <w:sz w:val="24"/>
                <w:szCs w:val="24"/>
              </w:rPr>
            </w:pPr>
            <w:r w:rsidRPr="00B909EA">
              <w:rPr>
                <w:rFonts w:ascii="Times New Roman" w:hAnsi="Times New Roman" w:cs="Times New Roman"/>
                <w:sz w:val="24"/>
                <w:szCs w:val="24"/>
              </w:rPr>
              <w:t xml:space="preserve">Аналитический учет по счету 0 401 60 000 ведется в </w:t>
            </w:r>
            <w:proofErr w:type="spellStart"/>
            <w:r w:rsidRPr="00B909EA">
              <w:rPr>
                <w:rFonts w:ascii="Times New Roman" w:hAnsi="Times New Roman" w:cs="Times New Roman"/>
                <w:sz w:val="24"/>
                <w:szCs w:val="24"/>
              </w:rPr>
              <w:t>Многографной</w:t>
            </w:r>
            <w:proofErr w:type="spellEnd"/>
            <w:r w:rsidRPr="00B909EA">
              <w:rPr>
                <w:rFonts w:ascii="Times New Roman" w:hAnsi="Times New Roman" w:cs="Times New Roman"/>
                <w:sz w:val="24"/>
                <w:szCs w:val="24"/>
              </w:rPr>
              <w:t xml:space="preserve"> карточке или Карточке учета средств и расчетов, по видам создаваемых резервов.</w:t>
            </w:r>
          </w:p>
          <w:p w14:paraId="71AFDDCA" w14:textId="77777777" w:rsidR="00273888" w:rsidRPr="00B909EA" w:rsidRDefault="00273888" w:rsidP="00273888">
            <w:pPr>
              <w:pStyle w:val="ConsPlusNormal"/>
              <w:ind w:firstLine="0"/>
              <w:jc w:val="both"/>
              <w:rPr>
                <w:rFonts w:ascii="Times New Roman" w:hAnsi="Times New Roman" w:cs="Times New Roman"/>
                <w:sz w:val="24"/>
                <w:szCs w:val="24"/>
              </w:rPr>
            </w:pPr>
            <w:r w:rsidRPr="00B909EA">
              <w:rPr>
                <w:rFonts w:ascii="Times New Roman" w:hAnsi="Times New Roman" w:cs="Times New Roman"/>
                <w:sz w:val="24"/>
                <w:szCs w:val="24"/>
              </w:rPr>
              <w:t>Учетной политикой определены периодичность списания, способ расчета и определение оценочного значения резерва предстоящих расходов на выплаты персоналу.</w:t>
            </w:r>
          </w:p>
        </w:tc>
        <w:tc>
          <w:tcPr>
            <w:tcW w:w="6066" w:type="dxa"/>
          </w:tcPr>
          <w:p w14:paraId="49EB5AE8" w14:textId="77777777" w:rsidR="009860AF" w:rsidRPr="00B909EA" w:rsidRDefault="009860AF" w:rsidP="006267D1">
            <w:pPr>
              <w:jc w:val="center"/>
              <w:rPr>
                <w:shd w:val="clear" w:color="auto" w:fill="FFFFFF"/>
              </w:rPr>
            </w:pPr>
            <w:r w:rsidRPr="00B909EA">
              <w:rPr>
                <w:shd w:val="clear" w:color="auto" w:fill="FFFFFF"/>
              </w:rPr>
              <w:t>Пункт 11 СГС «Доходы»</w:t>
            </w:r>
          </w:p>
          <w:p w14:paraId="02DC9362" w14:textId="7590AA8A" w:rsidR="00273888" w:rsidRPr="00B909EA" w:rsidRDefault="006267D1" w:rsidP="006267D1">
            <w:pPr>
              <w:jc w:val="center"/>
              <w:rPr>
                <w:shd w:val="clear" w:color="auto" w:fill="FFFFFF"/>
              </w:rPr>
            </w:pPr>
            <w:r w:rsidRPr="00B909EA">
              <w:rPr>
                <w:shd w:val="clear" w:color="auto" w:fill="FFFFFF"/>
              </w:rPr>
              <w:t>Пункт </w:t>
            </w:r>
            <w:hyperlink r:id="rId54" w:history="1">
              <w:r w:rsidRPr="00B909EA">
                <w:rPr>
                  <w:u w:val="single"/>
                </w:rPr>
                <w:t>7</w:t>
              </w:r>
            </w:hyperlink>
            <w:r w:rsidRPr="00B909EA">
              <w:rPr>
                <w:shd w:val="clear" w:color="auto" w:fill="FFFFFF"/>
              </w:rPr>
              <w:t>, СГС «Резервы».</w:t>
            </w:r>
          </w:p>
        </w:tc>
      </w:tr>
      <w:tr w:rsidR="00B909EA" w:rsidRPr="00B909EA" w14:paraId="2C5CE386" w14:textId="77777777" w:rsidTr="00090E2A">
        <w:trPr>
          <w:trHeight w:val="1544"/>
        </w:trPr>
        <w:tc>
          <w:tcPr>
            <w:tcW w:w="2451" w:type="dxa"/>
          </w:tcPr>
          <w:p w14:paraId="4BCC9786" w14:textId="77777777" w:rsidR="00273888" w:rsidRPr="00B909EA" w:rsidRDefault="00273888" w:rsidP="00273888">
            <w:pPr>
              <w:jc w:val="center"/>
            </w:pPr>
            <w:r w:rsidRPr="00B909EA">
              <w:t xml:space="preserve">Учет на счетах </w:t>
            </w:r>
            <w:proofErr w:type="spellStart"/>
            <w:r w:rsidRPr="00B909EA">
              <w:t>санкционированния</w:t>
            </w:r>
            <w:proofErr w:type="spellEnd"/>
            <w:r w:rsidRPr="00B909EA">
              <w:t xml:space="preserve"> расходов бюджета</w:t>
            </w:r>
          </w:p>
        </w:tc>
        <w:tc>
          <w:tcPr>
            <w:tcW w:w="1695" w:type="dxa"/>
          </w:tcPr>
          <w:p w14:paraId="02DDC268" w14:textId="77777777" w:rsidR="00273888" w:rsidRPr="00B909EA" w:rsidRDefault="00273888" w:rsidP="00273888">
            <w:pPr>
              <w:jc w:val="center"/>
            </w:pPr>
            <w:r w:rsidRPr="00B909EA">
              <w:t>1.502.00</w:t>
            </w:r>
          </w:p>
        </w:tc>
        <w:tc>
          <w:tcPr>
            <w:tcW w:w="4638" w:type="dxa"/>
          </w:tcPr>
          <w:p w14:paraId="1077B147" w14:textId="77777777" w:rsidR="00273888" w:rsidRPr="00B909EA" w:rsidRDefault="002E6CB9" w:rsidP="002E6CB9">
            <w:r w:rsidRPr="00B909EA">
              <w:rPr>
                <w:shd w:val="clear" w:color="auto" w:fill="FFFFFF"/>
              </w:rPr>
              <w:t>Принятие бюджетных (денежных) обязательств к учету осуществляется в пределах лимитов бюджетных обязательств в порядке, приведенном в </w:t>
            </w:r>
            <w:hyperlink r:id="rId55" w:history="1">
              <w:r w:rsidRPr="00B909EA">
                <w:t>приложении 15</w:t>
              </w:r>
            </w:hyperlink>
            <w:r w:rsidRPr="00B909EA">
              <w:rPr>
                <w:shd w:val="clear" w:color="auto" w:fill="FFFFFF"/>
              </w:rPr>
              <w:t xml:space="preserve">. </w:t>
            </w:r>
          </w:p>
        </w:tc>
        <w:tc>
          <w:tcPr>
            <w:tcW w:w="6066" w:type="dxa"/>
          </w:tcPr>
          <w:p w14:paraId="453F66F0" w14:textId="0359BEFA" w:rsidR="00273888" w:rsidRPr="00B909EA" w:rsidRDefault="002E6CB9" w:rsidP="009860AF">
            <w:pPr>
              <w:spacing w:after="150"/>
            </w:pPr>
            <w:r w:rsidRPr="00B909EA">
              <w:t>Письмо Минфина России от 30.06.2025 № 02-07-08/63940</w:t>
            </w:r>
            <w:r w:rsidRPr="00B909EA">
              <w:br/>
              <w:t>Раздел 3 методических рекомендации по применению СГС "Единый план счетов бухгалтерского учета государственных финансов"</w:t>
            </w:r>
          </w:p>
        </w:tc>
      </w:tr>
      <w:tr w:rsidR="00B909EA" w:rsidRPr="00B909EA" w14:paraId="14B4098D" w14:textId="77777777" w:rsidTr="00090E2A">
        <w:tc>
          <w:tcPr>
            <w:tcW w:w="2451" w:type="dxa"/>
          </w:tcPr>
          <w:p w14:paraId="02915976" w14:textId="77777777" w:rsidR="00273888" w:rsidRPr="00B909EA" w:rsidRDefault="00273888" w:rsidP="00273888">
            <w:pPr>
              <w:jc w:val="center"/>
            </w:pPr>
            <w:r w:rsidRPr="00B909EA">
              <w:lastRenderedPageBreak/>
              <w:t>Представительские расходы</w:t>
            </w:r>
          </w:p>
        </w:tc>
        <w:tc>
          <w:tcPr>
            <w:tcW w:w="1695" w:type="dxa"/>
          </w:tcPr>
          <w:p w14:paraId="1D21A5D0" w14:textId="77777777" w:rsidR="00273888" w:rsidRPr="00B909EA" w:rsidRDefault="00273888" w:rsidP="00273888">
            <w:pPr>
              <w:jc w:val="center"/>
            </w:pPr>
          </w:p>
        </w:tc>
        <w:tc>
          <w:tcPr>
            <w:tcW w:w="4638" w:type="dxa"/>
          </w:tcPr>
          <w:p w14:paraId="2EE2DAE8" w14:textId="77777777" w:rsidR="00273888" w:rsidRPr="00B909EA" w:rsidRDefault="00273888" w:rsidP="00273888">
            <w:pPr>
              <w:spacing w:after="150"/>
              <w:jc w:val="both"/>
            </w:pPr>
            <w:r w:rsidRPr="00B909EA">
              <w:t>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А именно расходы:</w:t>
            </w:r>
          </w:p>
          <w:p w14:paraId="4FF4C58E" w14:textId="77777777" w:rsidR="00273888" w:rsidRPr="00B909EA" w:rsidRDefault="00273888" w:rsidP="00273888">
            <w:pPr>
              <w:numPr>
                <w:ilvl w:val="0"/>
                <w:numId w:val="4"/>
              </w:numPr>
              <w:ind w:left="270"/>
              <w:jc w:val="both"/>
            </w:pPr>
            <w:r w:rsidRPr="00B909EA">
              <w:t>на официальный прием или обслуживание: завтрак, обед или иное аналогичное мероприятие для участников мероприятия;</w:t>
            </w:r>
          </w:p>
          <w:p w14:paraId="7C4BB92A" w14:textId="77777777" w:rsidR="00273888" w:rsidRPr="00B909EA" w:rsidRDefault="00273888" w:rsidP="00273888">
            <w:pPr>
              <w:numPr>
                <w:ilvl w:val="0"/>
                <w:numId w:val="4"/>
              </w:numPr>
              <w:ind w:left="270"/>
              <w:jc w:val="both"/>
            </w:pPr>
            <w:r w:rsidRPr="00B909EA">
              <w:t>буфетное обслуживание во время мероприятия, в том числе обеспечение питьевой водой, напитками;</w:t>
            </w:r>
          </w:p>
          <w:p w14:paraId="000B85A2" w14:textId="77777777" w:rsidR="00273888" w:rsidRPr="00B909EA" w:rsidRDefault="00273888" w:rsidP="00273888">
            <w:pPr>
              <w:numPr>
                <w:ilvl w:val="0"/>
                <w:numId w:val="4"/>
              </w:numPr>
              <w:ind w:left="270"/>
              <w:jc w:val="both"/>
            </w:pPr>
            <w:r w:rsidRPr="00B909EA">
              <w:t>обеспечение участников канцелярскими принадлежностями;</w:t>
            </w:r>
          </w:p>
          <w:p w14:paraId="5512579D" w14:textId="77777777" w:rsidR="00273888" w:rsidRPr="00B909EA" w:rsidRDefault="00273888" w:rsidP="00273888">
            <w:pPr>
              <w:numPr>
                <w:ilvl w:val="0"/>
                <w:numId w:val="4"/>
              </w:numPr>
              <w:ind w:left="270"/>
              <w:jc w:val="both"/>
            </w:pPr>
            <w:r w:rsidRPr="00B909EA">
              <w:t>транспортное обеспечение доставки участников к месту мероприятия и обратно.</w:t>
            </w:r>
          </w:p>
          <w:p w14:paraId="3BB811FB" w14:textId="77777777" w:rsidR="00273888" w:rsidRPr="00B909EA" w:rsidRDefault="00273888" w:rsidP="00273888">
            <w:pPr>
              <w:spacing w:after="150"/>
              <w:jc w:val="both"/>
            </w:pPr>
            <w:r w:rsidRPr="00B909EA">
              <w:t>12.2. Документами, подтверждающими обоснованность представительских расходов, являются:</w:t>
            </w:r>
          </w:p>
          <w:p w14:paraId="1F969989" w14:textId="77777777" w:rsidR="00273888" w:rsidRPr="00B909EA" w:rsidRDefault="00273888" w:rsidP="00273888">
            <w:pPr>
              <w:numPr>
                <w:ilvl w:val="0"/>
                <w:numId w:val="5"/>
              </w:numPr>
              <w:ind w:left="270"/>
              <w:jc w:val="both"/>
            </w:pPr>
            <w:r w:rsidRPr="00B909EA">
              <w:t>приказ руководителя учреждения о проведении мероприятия и назначении ответственного за него;</w:t>
            </w:r>
          </w:p>
          <w:p w14:paraId="6F8CDDF4" w14:textId="77777777" w:rsidR="00273888" w:rsidRPr="00B909EA" w:rsidRDefault="00273888" w:rsidP="00273888">
            <w:pPr>
              <w:numPr>
                <w:ilvl w:val="0"/>
                <w:numId w:val="5"/>
              </w:numPr>
              <w:ind w:left="270"/>
              <w:jc w:val="both"/>
            </w:pPr>
            <w:r w:rsidRPr="00B909EA">
              <w:t>смета предстоящих расходов на мероприятие;</w:t>
            </w:r>
          </w:p>
          <w:p w14:paraId="0A2BDAE5" w14:textId="77777777" w:rsidR="00273888" w:rsidRPr="00B909EA" w:rsidRDefault="00273888" w:rsidP="00273888">
            <w:pPr>
              <w:numPr>
                <w:ilvl w:val="0"/>
                <w:numId w:val="5"/>
              </w:numPr>
              <w:ind w:left="270"/>
              <w:jc w:val="both"/>
            </w:pPr>
            <w:r w:rsidRPr="00B909EA">
              <w:t>отчет о представительских расходах, составленный сотрудником, ответственным за мероприятие;</w:t>
            </w:r>
          </w:p>
          <w:p w14:paraId="4F794368" w14:textId="77777777" w:rsidR="00273888" w:rsidRPr="00B909EA" w:rsidRDefault="00273888" w:rsidP="00273888">
            <w:pPr>
              <w:numPr>
                <w:ilvl w:val="0"/>
                <w:numId w:val="5"/>
              </w:numPr>
              <w:spacing w:after="150"/>
              <w:ind w:left="270"/>
              <w:jc w:val="both"/>
            </w:pPr>
            <w:r w:rsidRPr="00B909EA">
              <w:t>первичные документы о произведенных расходах.</w:t>
            </w:r>
          </w:p>
        </w:tc>
        <w:tc>
          <w:tcPr>
            <w:tcW w:w="6066" w:type="dxa"/>
          </w:tcPr>
          <w:p w14:paraId="7A1BB9CE"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B909EA" w:rsidRPr="00B909EA" w14:paraId="5E4A1ABA" w14:textId="77777777" w:rsidTr="00090E2A">
        <w:tc>
          <w:tcPr>
            <w:tcW w:w="2451" w:type="dxa"/>
          </w:tcPr>
          <w:p w14:paraId="59DF277C" w14:textId="77777777" w:rsidR="00273888" w:rsidRPr="00B909EA" w:rsidRDefault="00273888" w:rsidP="00273888">
            <w:pPr>
              <w:jc w:val="center"/>
            </w:pPr>
            <w:r w:rsidRPr="00B909EA">
              <w:lastRenderedPageBreak/>
              <w:t>Отражение событий после отчетной даты</w:t>
            </w:r>
          </w:p>
        </w:tc>
        <w:tc>
          <w:tcPr>
            <w:tcW w:w="1695" w:type="dxa"/>
          </w:tcPr>
          <w:p w14:paraId="60FAA1E7" w14:textId="77777777" w:rsidR="00273888" w:rsidRPr="00B909EA" w:rsidRDefault="00273888" w:rsidP="00273888">
            <w:pPr>
              <w:jc w:val="center"/>
            </w:pPr>
          </w:p>
        </w:tc>
        <w:tc>
          <w:tcPr>
            <w:tcW w:w="4638" w:type="dxa"/>
          </w:tcPr>
          <w:p w14:paraId="0A21FD4D" w14:textId="77777777" w:rsidR="00273888" w:rsidRPr="00B909EA" w:rsidRDefault="00273888" w:rsidP="00273888">
            <w:pPr>
              <w:jc w:val="both"/>
            </w:pPr>
            <w:r w:rsidRPr="00B909EA">
              <w:t>Определение перечня, отчетной даты отражения, условия существенности</w:t>
            </w:r>
          </w:p>
        </w:tc>
        <w:tc>
          <w:tcPr>
            <w:tcW w:w="6066" w:type="dxa"/>
          </w:tcPr>
          <w:p w14:paraId="54FF3968"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Пункт 7 СГС «Событие после отчетной даты»</w:t>
            </w:r>
          </w:p>
        </w:tc>
      </w:tr>
      <w:tr w:rsidR="00B909EA" w:rsidRPr="00B909EA" w14:paraId="7D52E115" w14:textId="77777777" w:rsidTr="00090E2A">
        <w:tc>
          <w:tcPr>
            <w:tcW w:w="2451" w:type="dxa"/>
          </w:tcPr>
          <w:p w14:paraId="31D02F8F" w14:textId="77777777" w:rsidR="00273888" w:rsidRPr="00B909EA" w:rsidRDefault="00273888" w:rsidP="00273888">
            <w:pPr>
              <w:jc w:val="center"/>
            </w:pPr>
            <w:r w:rsidRPr="00B909EA">
              <w:t xml:space="preserve">Порядок проведения инвентаризации имущества и обязательств </w:t>
            </w:r>
          </w:p>
        </w:tc>
        <w:tc>
          <w:tcPr>
            <w:tcW w:w="1695" w:type="dxa"/>
          </w:tcPr>
          <w:p w14:paraId="1ABD583E" w14:textId="77777777" w:rsidR="00273888" w:rsidRPr="00B909EA" w:rsidRDefault="00273888" w:rsidP="00273888">
            <w:pPr>
              <w:jc w:val="center"/>
            </w:pPr>
          </w:p>
        </w:tc>
        <w:tc>
          <w:tcPr>
            <w:tcW w:w="4638" w:type="dxa"/>
          </w:tcPr>
          <w:p w14:paraId="6CEF0D73" w14:textId="77777777" w:rsidR="00273888" w:rsidRPr="00B909EA" w:rsidRDefault="00273888" w:rsidP="00273888">
            <w:pPr>
              <w:jc w:val="both"/>
            </w:pPr>
            <w:r w:rsidRPr="00B909EA">
              <w:t>И</w:t>
            </w:r>
            <w:r w:rsidRPr="00B909EA">
              <w:rPr>
                <w:shd w:val="clear" w:color="auto" w:fill="FFFFFF"/>
              </w:rPr>
              <w:t xml:space="preserve">нвентаризацию имущества и обязательств (в т. ч. числящихся на </w:t>
            </w:r>
            <w:proofErr w:type="gramStart"/>
            <w:r w:rsidRPr="00B909EA">
              <w:rPr>
                <w:shd w:val="clear" w:color="auto" w:fill="FFFFFF"/>
              </w:rPr>
              <w:t>забалансовых  счетах</w:t>
            </w:r>
            <w:proofErr w:type="gramEnd"/>
            <w:r w:rsidRPr="00B909EA">
              <w:rPr>
                <w:shd w:val="clear" w:color="auto" w:fill="FFFFFF"/>
              </w:rPr>
              <w:t>), а также финансовых результатов (в т. ч. расходов будущих периодов) проводит постоянно действующая инвентаризационная комиссия.  Порядок и график проведения инвентаризации приведен в </w:t>
            </w:r>
            <w:hyperlink r:id="rId56" w:anchor="/document/118/62136/" w:history="1">
              <w:r w:rsidRPr="00B909EA">
                <w:t>приложении 10</w:t>
              </w:r>
            </w:hyperlink>
            <w:r w:rsidRPr="00B909EA">
              <w:rPr>
                <w:shd w:val="clear" w:color="auto" w:fill="FFFFFF"/>
              </w:rPr>
              <w:t xml:space="preserve"> к учетной политике</w:t>
            </w:r>
          </w:p>
        </w:tc>
        <w:tc>
          <w:tcPr>
            <w:tcW w:w="6066" w:type="dxa"/>
          </w:tcPr>
          <w:p w14:paraId="29E3E732"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 xml:space="preserve">Статья 11 Закона от 6 декабря 2011 № 402-ФЗ, раздел </w:t>
            </w:r>
            <w:r w:rsidRPr="00B909EA">
              <w:rPr>
                <w:lang w:val="en-US"/>
              </w:rPr>
              <w:t>VIII</w:t>
            </w:r>
            <w:r w:rsidRPr="00B909EA">
              <w:t xml:space="preserve"> Стандарта «Концептуальные основы бухучета и отчетности»</w:t>
            </w:r>
            <w:r w:rsidR="00F14260" w:rsidRPr="00B909EA">
              <w:t xml:space="preserve">, </w:t>
            </w:r>
            <w:hyperlink r:id="rId57" w:history="1">
              <w:r w:rsidR="00F14260" w:rsidRPr="00B909EA">
                <w:rPr>
                  <w:u w:val="single"/>
                </w:rPr>
                <w:t>пункт 9</w:t>
              </w:r>
            </w:hyperlink>
            <w:r w:rsidR="00F14260" w:rsidRPr="00B909EA">
              <w:rPr>
                <w:shd w:val="clear" w:color="auto" w:fill="FFFFFF"/>
              </w:rPr>
              <w:t> СГС «Учетная политика, оценочные значения и ошибки».</w:t>
            </w:r>
          </w:p>
          <w:p w14:paraId="27292ABA"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 </w:t>
            </w:r>
          </w:p>
          <w:p w14:paraId="7158F8EF" w14:textId="77777777" w:rsidR="00273888" w:rsidRPr="00B909EA" w:rsidRDefault="00273888" w:rsidP="00273888">
            <w:pPr>
              <w:jc w:val="center"/>
              <w:rPr>
                <w:shd w:val="clear" w:color="auto" w:fill="FFFFFF"/>
              </w:rPr>
            </w:pPr>
          </w:p>
        </w:tc>
      </w:tr>
      <w:tr w:rsidR="00B909EA" w:rsidRPr="00B909EA" w14:paraId="6DDCB1DD" w14:textId="77777777" w:rsidTr="00090E2A">
        <w:tc>
          <w:tcPr>
            <w:tcW w:w="2451" w:type="dxa"/>
          </w:tcPr>
          <w:p w14:paraId="6F91D0FF" w14:textId="77777777" w:rsidR="00F14260" w:rsidRPr="00B909EA" w:rsidRDefault="00F14260" w:rsidP="00273888">
            <w:pPr>
              <w:jc w:val="center"/>
            </w:pPr>
            <w:r w:rsidRPr="00B909EA">
              <w:t>Порядок организации и обеспечения внутреннего финансового контроля</w:t>
            </w:r>
          </w:p>
        </w:tc>
        <w:tc>
          <w:tcPr>
            <w:tcW w:w="1695" w:type="dxa"/>
          </w:tcPr>
          <w:p w14:paraId="480BB5E8" w14:textId="77777777" w:rsidR="00F14260" w:rsidRPr="00B909EA" w:rsidRDefault="00F14260" w:rsidP="00273888">
            <w:pPr>
              <w:jc w:val="center"/>
            </w:pPr>
          </w:p>
        </w:tc>
        <w:tc>
          <w:tcPr>
            <w:tcW w:w="4638" w:type="dxa"/>
          </w:tcPr>
          <w:p w14:paraId="044E5515" w14:textId="10A343CE" w:rsidR="00F14260" w:rsidRPr="00B909EA" w:rsidRDefault="00F14260" w:rsidP="00DB1644">
            <w:pPr>
              <w:jc w:val="both"/>
            </w:pPr>
            <w:r w:rsidRPr="00B909EA">
              <w:rPr>
                <w:shd w:val="clear" w:color="auto" w:fill="FFFFFF"/>
              </w:rPr>
              <w:t>Положение о внутреннем финансовом контроле, о комиссии и график проведения внутренних проверок финансово-хозяйственной деятельности приведен в </w:t>
            </w:r>
            <w:r w:rsidRPr="00B909EA">
              <w:t>приложении 1</w:t>
            </w:r>
            <w:r w:rsidR="009860AF" w:rsidRPr="00B909EA">
              <w:t>4</w:t>
            </w:r>
          </w:p>
        </w:tc>
        <w:tc>
          <w:tcPr>
            <w:tcW w:w="6066" w:type="dxa"/>
          </w:tcPr>
          <w:p w14:paraId="4C22CB43" w14:textId="77777777" w:rsidR="00F14260" w:rsidRPr="00B909EA" w:rsidRDefault="00B909EA" w:rsidP="00DB16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hyperlink r:id="rId58" w:history="1">
              <w:r w:rsidR="00DB1644" w:rsidRPr="00B909EA">
                <w:t>Подпункт «е»</w:t>
              </w:r>
            </w:hyperlink>
            <w:r w:rsidR="00DB1644" w:rsidRPr="00B909EA">
              <w:rPr>
                <w:shd w:val="clear" w:color="auto" w:fill="FFFFFF"/>
              </w:rPr>
              <w:t> пункта 9 СГС «Учетная политика, оценочные значения и ошибки».</w:t>
            </w:r>
          </w:p>
        </w:tc>
      </w:tr>
      <w:tr w:rsidR="00B909EA" w:rsidRPr="00B909EA" w14:paraId="269CA8A9" w14:textId="77777777" w:rsidTr="00090E2A">
        <w:tc>
          <w:tcPr>
            <w:tcW w:w="2451" w:type="dxa"/>
          </w:tcPr>
          <w:p w14:paraId="46A05409" w14:textId="77777777" w:rsidR="00273888" w:rsidRPr="00B909EA" w:rsidRDefault="00273888" w:rsidP="00273888">
            <w:pPr>
              <w:jc w:val="center"/>
            </w:pPr>
            <w:r w:rsidRPr="00B909EA">
              <w:t>Принятие к учету материальных ценностей, полученных в личное пользование</w:t>
            </w:r>
          </w:p>
        </w:tc>
        <w:tc>
          <w:tcPr>
            <w:tcW w:w="1695" w:type="dxa"/>
          </w:tcPr>
          <w:p w14:paraId="0FC4B4B7" w14:textId="77777777" w:rsidR="00273888" w:rsidRPr="00B909EA" w:rsidRDefault="00273888" w:rsidP="00273888">
            <w:pPr>
              <w:jc w:val="center"/>
            </w:pPr>
            <w:r w:rsidRPr="00B909EA">
              <w:t>1.27.00</w:t>
            </w:r>
          </w:p>
        </w:tc>
        <w:tc>
          <w:tcPr>
            <w:tcW w:w="4638" w:type="dxa"/>
          </w:tcPr>
          <w:p w14:paraId="085582FC"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Принятие к учету на забалансовом счете 27 «Материальные ценности, полученные в личное пользование» по балансовой стоимости</w:t>
            </w:r>
          </w:p>
        </w:tc>
        <w:tc>
          <w:tcPr>
            <w:tcW w:w="6066" w:type="dxa"/>
          </w:tcPr>
          <w:p w14:paraId="538EC15B" w14:textId="02D00822"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tc>
      </w:tr>
      <w:tr w:rsidR="00273888" w:rsidRPr="00B909EA" w14:paraId="67A334CA" w14:textId="77777777" w:rsidTr="00090E2A">
        <w:tc>
          <w:tcPr>
            <w:tcW w:w="2451" w:type="dxa"/>
          </w:tcPr>
          <w:p w14:paraId="62FF24BF" w14:textId="77777777" w:rsidR="00273888" w:rsidRPr="00B909EA" w:rsidRDefault="00273888" w:rsidP="00273888">
            <w:pPr>
              <w:jc w:val="center"/>
            </w:pPr>
            <w:r w:rsidRPr="00B909EA">
              <w:t>Порядок формирования и хранения бухгалтерской отчетности</w:t>
            </w:r>
          </w:p>
        </w:tc>
        <w:tc>
          <w:tcPr>
            <w:tcW w:w="1695" w:type="dxa"/>
          </w:tcPr>
          <w:p w14:paraId="7131ACEB" w14:textId="77777777" w:rsidR="00273888" w:rsidRPr="00B909EA" w:rsidRDefault="00273888" w:rsidP="00273888">
            <w:pPr>
              <w:jc w:val="center"/>
            </w:pPr>
          </w:p>
        </w:tc>
        <w:tc>
          <w:tcPr>
            <w:tcW w:w="4638" w:type="dxa"/>
          </w:tcPr>
          <w:p w14:paraId="19C3A50A" w14:textId="67B8147A"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 xml:space="preserve">Бухгалтерская отчетность </w:t>
            </w:r>
            <w:proofErr w:type="gramStart"/>
            <w:r w:rsidRPr="00B909EA">
              <w:t>формируется  в</w:t>
            </w:r>
            <w:proofErr w:type="gramEnd"/>
            <w:r w:rsidRPr="00B909EA">
              <w:t xml:space="preserve"> электронном виде в информационной системе 1</w:t>
            </w:r>
            <w:r w:rsidRPr="00B909EA">
              <w:rPr>
                <w:lang w:val="en-US"/>
              </w:rPr>
              <w:t>C</w:t>
            </w:r>
            <w:r w:rsidRPr="00B909EA">
              <w:t xml:space="preserve">:Бухгалтерия, </w:t>
            </w:r>
            <w:r w:rsidR="00274119" w:rsidRPr="00B909EA">
              <w:t>распечатывается, подписывается</w:t>
            </w:r>
            <w:r w:rsidRPr="00B909EA">
              <w:t xml:space="preserve"> и  хранится в бумажном виде у главного бухгалтера.</w:t>
            </w:r>
          </w:p>
          <w:p w14:paraId="019F393E" w14:textId="77777777" w:rsidR="00273888" w:rsidRPr="00B909EA" w:rsidRDefault="00273888" w:rsidP="00273888">
            <w:pPr>
              <w:jc w:val="both"/>
            </w:pPr>
          </w:p>
        </w:tc>
        <w:tc>
          <w:tcPr>
            <w:tcW w:w="6066" w:type="dxa"/>
          </w:tcPr>
          <w:p w14:paraId="5463B35F"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909EA">
              <w:t>Часть 7.1 статьи 13 Закона от 06.12.2011 № 402-ФЗ.</w:t>
            </w:r>
          </w:p>
          <w:p w14:paraId="0FE53808" w14:textId="77777777" w:rsidR="00273888" w:rsidRPr="00B909EA" w:rsidRDefault="00273888" w:rsidP="00273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bl>
    <w:p w14:paraId="7B2D17D3" w14:textId="77777777" w:rsidR="00EB1727" w:rsidRPr="00B909EA" w:rsidRDefault="00EB1727" w:rsidP="00EB1727">
      <w:pPr>
        <w:jc w:val="center"/>
      </w:pPr>
    </w:p>
    <w:sectPr w:rsidR="00EB1727" w:rsidRPr="00B909EA" w:rsidSect="00BA058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800"/>
    <w:multiLevelType w:val="multilevel"/>
    <w:tmpl w:val="661A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A2B1C"/>
    <w:multiLevelType w:val="multilevel"/>
    <w:tmpl w:val="043C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E3208"/>
    <w:multiLevelType w:val="multilevel"/>
    <w:tmpl w:val="4E90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6D235D"/>
    <w:multiLevelType w:val="multilevel"/>
    <w:tmpl w:val="0B7E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504E7"/>
    <w:multiLevelType w:val="multilevel"/>
    <w:tmpl w:val="6A4C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062EE"/>
    <w:multiLevelType w:val="hybridMultilevel"/>
    <w:tmpl w:val="A2481646"/>
    <w:lvl w:ilvl="0" w:tplc="BF52554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9E73A0"/>
    <w:multiLevelType w:val="hybridMultilevel"/>
    <w:tmpl w:val="21507A20"/>
    <w:lvl w:ilvl="0" w:tplc="F46EE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27"/>
    <w:rsid w:val="0001462D"/>
    <w:rsid w:val="00037CCF"/>
    <w:rsid w:val="000421C0"/>
    <w:rsid w:val="00073259"/>
    <w:rsid w:val="00090E2A"/>
    <w:rsid w:val="00092FDD"/>
    <w:rsid w:val="000C16C0"/>
    <w:rsid w:val="00110C2D"/>
    <w:rsid w:val="0011570A"/>
    <w:rsid w:val="00117A44"/>
    <w:rsid w:val="00146F1E"/>
    <w:rsid w:val="00182066"/>
    <w:rsid w:val="001875D1"/>
    <w:rsid w:val="001C3E7D"/>
    <w:rsid w:val="001D3DCE"/>
    <w:rsid w:val="001D4C59"/>
    <w:rsid w:val="00201C61"/>
    <w:rsid w:val="00223DA7"/>
    <w:rsid w:val="00230CF6"/>
    <w:rsid w:val="00232210"/>
    <w:rsid w:val="0026544A"/>
    <w:rsid w:val="002667FD"/>
    <w:rsid w:val="00273888"/>
    <w:rsid w:val="00274119"/>
    <w:rsid w:val="00285FE1"/>
    <w:rsid w:val="002E6CB9"/>
    <w:rsid w:val="002F281F"/>
    <w:rsid w:val="00315074"/>
    <w:rsid w:val="003174DA"/>
    <w:rsid w:val="003615D8"/>
    <w:rsid w:val="0036292E"/>
    <w:rsid w:val="0037597C"/>
    <w:rsid w:val="003855A5"/>
    <w:rsid w:val="003A1692"/>
    <w:rsid w:val="004024EA"/>
    <w:rsid w:val="0044102F"/>
    <w:rsid w:val="004A588C"/>
    <w:rsid w:val="004A78F8"/>
    <w:rsid w:val="004B1B07"/>
    <w:rsid w:val="005025AD"/>
    <w:rsid w:val="005119D7"/>
    <w:rsid w:val="00561428"/>
    <w:rsid w:val="005756FE"/>
    <w:rsid w:val="00595D7E"/>
    <w:rsid w:val="005B531E"/>
    <w:rsid w:val="00607B78"/>
    <w:rsid w:val="00617013"/>
    <w:rsid w:val="0062531E"/>
    <w:rsid w:val="006267D1"/>
    <w:rsid w:val="00631491"/>
    <w:rsid w:val="0065767E"/>
    <w:rsid w:val="00694701"/>
    <w:rsid w:val="006A3B93"/>
    <w:rsid w:val="006A7750"/>
    <w:rsid w:val="006D617F"/>
    <w:rsid w:val="006F266D"/>
    <w:rsid w:val="00702B0E"/>
    <w:rsid w:val="007055CD"/>
    <w:rsid w:val="0076652A"/>
    <w:rsid w:val="007773B5"/>
    <w:rsid w:val="00796871"/>
    <w:rsid w:val="007D120B"/>
    <w:rsid w:val="009116AC"/>
    <w:rsid w:val="009134B0"/>
    <w:rsid w:val="00923E27"/>
    <w:rsid w:val="009445D8"/>
    <w:rsid w:val="0094779E"/>
    <w:rsid w:val="00957492"/>
    <w:rsid w:val="009860AF"/>
    <w:rsid w:val="009A0F07"/>
    <w:rsid w:val="009A18A5"/>
    <w:rsid w:val="00A02A70"/>
    <w:rsid w:val="00A11CD4"/>
    <w:rsid w:val="00A20C24"/>
    <w:rsid w:val="00A20DCB"/>
    <w:rsid w:val="00A454BB"/>
    <w:rsid w:val="00A73E30"/>
    <w:rsid w:val="00AD2D10"/>
    <w:rsid w:val="00AF7C75"/>
    <w:rsid w:val="00B909EA"/>
    <w:rsid w:val="00BA058B"/>
    <w:rsid w:val="00BD009B"/>
    <w:rsid w:val="00C0133F"/>
    <w:rsid w:val="00C0233D"/>
    <w:rsid w:val="00C05675"/>
    <w:rsid w:val="00C06D9D"/>
    <w:rsid w:val="00C26710"/>
    <w:rsid w:val="00C27190"/>
    <w:rsid w:val="00C40D22"/>
    <w:rsid w:val="00C76812"/>
    <w:rsid w:val="00CC6D02"/>
    <w:rsid w:val="00D03482"/>
    <w:rsid w:val="00D56BDB"/>
    <w:rsid w:val="00D70224"/>
    <w:rsid w:val="00D7243F"/>
    <w:rsid w:val="00DB1644"/>
    <w:rsid w:val="00DB2B90"/>
    <w:rsid w:val="00DB2DCF"/>
    <w:rsid w:val="00E07070"/>
    <w:rsid w:val="00E44005"/>
    <w:rsid w:val="00E45735"/>
    <w:rsid w:val="00E568A1"/>
    <w:rsid w:val="00E60DB6"/>
    <w:rsid w:val="00EB1318"/>
    <w:rsid w:val="00EB1727"/>
    <w:rsid w:val="00F01B01"/>
    <w:rsid w:val="00F120B1"/>
    <w:rsid w:val="00F14260"/>
    <w:rsid w:val="00F16A25"/>
    <w:rsid w:val="00F7373F"/>
    <w:rsid w:val="00F84A4F"/>
    <w:rsid w:val="00FA3F24"/>
    <w:rsid w:val="00FC794E"/>
    <w:rsid w:val="00FD5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E9A3"/>
  <w15:docId w15:val="{99F66BFF-6E17-41D4-A49F-C2E9945E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10"/>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20C24"/>
    <w:rPr>
      <w:color w:val="0000FF"/>
      <w:u w:val="single"/>
    </w:rPr>
  </w:style>
  <w:style w:type="paragraph" w:styleId="a5">
    <w:name w:val="Normal (Web)"/>
    <w:basedOn w:val="a"/>
    <w:uiPriority w:val="99"/>
    <w:semiHidden/>
    <w:unhideWhenUsed/>
    <w:rsid w:val="00A20DCB"/>
    <w:pPr>
      <w:spacing w:before="100" w:beforeAutospacing="1" w:after="100" w:afterAutospacing="1"/>
    </w:pPr>
  </w:style>
  <w:style w:type="character" w:customStyle="1" w:styleId="fill">
    <w:name w:val="fill"/>
    <w:basedOn w:val="a0"/>
    <w:rsid w:val="00A20DCB"/>
  </w:style>
  <w:style w:type="paragraph" w:customStyle="1" w:styleId="ConsPlusNormal">
    <w:name w:val="ConsPlusNormal"/>
    <w:rsid w:val="00595D7E"/>
    <w:pPr>
      <w:widowControl w:val="0"/>
      <w:autoSpaceDE w:val="0"/>
      <w:autoSpaceDN w:val="0"/>
      <w:adjustRightInd w:val="0"/>
      <w:spacing w:after="0" w:line="240" w:lineRule="auto"/>
      <w:ind w:firstLine="720"/>
    </w:pPr>
    <w:rPr>
      <w:rFonts w:ascii="Arial" w:hAnsi="Arial" w:cs="Arial"/>
      <w:sz w:val="20"/>
      <w:szCs w:val="20"/>
      <w:lang w:eastAsia="ru-RU"/>
    </w:rPr>
  </w:style>
  <w:style w:type="character" w:customStyle="1" w:styleId="sfwc">
    <w:name w:val="sfwc"/>
    <w:basedOn w:val="a0"/>
    <w:rsid w:val="0076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9629">
      <w:bodyDiv w:val="1"/>
      <w:marLeft w:val="0"/>
      <w:marRight w:val="0"/>
      <w:marTop w:val="0"/>
      <w:marBottom w:val="0"/>
      <w:divBdr>
        <w:top w:val="none" w:sz="0" w:space="0" w:color="auto"/>
        <w:left w:val="none" w:sz="0" w:space="0" w:color="auto"/>
        <w:bottom w:val="none" w:sz="0" w:space="0" w:color="auto"/>
        <w:right w:val="none" w:sz="0" w:space="0" w:color="auto"/>
      </w:divBdr>
    </w:div>
    <w:div w:id="113444577">
      <w:bodyDiv w:val="1"/>
      <w:marLeft w:val="0"/>
      <w:marRight w:val="0"/>
      <w:marTop w:val="0"/>
      <w:marBottom w:val="0"/>
      <w:divBdr>
        <w:top w:val="none" w:sz="0" w:space="0" w:color="auto"/>
        <w:left w:val="none" w:sz="0" w:space="0" w:color="auto"/>
        <w:bottom w:val="none" w:sz="0" w:space="0" w:color="auto"/>
        <w:right w:val="none" w:sz="0" w:space="0" w:color="auto"/>
      </w:divBdr>
    </w:div>
    <w:div w:id="137917395">
      <w:bodyDiv w:val="1"/>
      <w:marLeft w:val="0"/>
      <w:marRight w:val="0"/>
      <w:marTop w:val="0"/>
      <w:marBottom w:val="0"/>
      <w:divBdr>
        <w:top w:val="none" w:sz="0" w:space="0" w:color="auto"/>
        <w:left w:val="none" w:sz="0" w:space="0" w:color="auto"/>
        <w:bottom w:val="none" w:sz="0" w:space="0" w:color="auto"/>
        <w:right w:val="none" w:sz="0" w:space="0" w:color="auto"/>
      </w:divBdr>
    </w:div>
    <w:div w:id="155658767">
      <w:bodyDiv w:val="1"/>
      <w:marLeft w:val="0"/>
      <w:marRight w:val="0"/>
      <w:marTop w:val="0"/>
      <w:marBottom w:val="0"/>
      <w:divBdr>
        <w:top w:val="none" w:sz="0" w:space="0" w:color="auto"/>
        <w:left w:val="none" w:sz="0" w:space="0" w:color="auto"/>
        <w:bottom w:val="none" w:sz="0" w:space="0" w:color="auto"/>
        <w:right w:val="none" w:sz="0" w:space="0" w:color="auto"/>
      </w:divBdr>
    </w:div>
    <w:div w:id="173425691">
      <w:bodyDiv w:val="1"/>
      <w:marLeft w:val="0"/>
      <w:marRight w:val="0"/>
      <w:marTop w:val="0"/>
      <w:marBottom w:val="0"/>
      <w:divBdr>
        <w:top w:val="none" w:sz="0" w:space="0" w:color="auto"/>
        <w:left w:val="none" w:sz="0" w:space="0" w:color="auto"/>
        <w:bottom w:val="none" w:sz="0" w:space="0" w:color="auto"/>
        <w:right w:val="none" w:sz="0" w:space="0" w:color="auto"/>
      </w:divBdr>
      <w:divsChild>
        <w:div w:id="998576129">
          <w:marLeft w:val="0"/>
          <w:marRight w:val="0"/>
          <w:marTop w:val="0"/>
          <w:marBottom w:val="0"/>
          <w:divBdr>
            <w:top w:val="none" w:sz="0" w:space="0" w:color="auto"/>
            <w:left w:val="none" w:sz="0" w:space="0" w:color="auto"/>
            <w:bottom w:val="none" w:sz="0" w:space="0" w:color="auto"/>
            <w:right w:val="none" w:sz="0" w:space="0" w:color="auto"/>
          </w:divBdr>
        </w:div>
      </w:divsChild>
    </w:div>
    <w:div w:id="263730206">
      <w:bodyDiv w:val="1"/>
      <w:marLeft w:val="0"/>
      <w:marRight w:val="0"/>
      <w:marTop w:val="0"/>
      <w:marBottom w:val="0"/>
      <w:divBdr>
        <w:top w:val="none" w:sz="0" w:space="0" w:color="auto"/>
        <w:left w:val="none" w:sz="0" w:space="0" w:color="auto"/>
        <w:bottom w:val="none" w:sz="0" w:space="0" w:color="auto"/>
        <w:right w:val="none" w:sz="0" w:space="0" w:color="auto"/>
      </w:divBdr>
    </w:div>
    <w:div w:id="266622691">
      <w:bodyDiv w:val="1"/>
      <w:marLeft w:val="0"/>
      <w:marRight w:val="0"/>
      <w:marTop w:val="0"/>
      <w:marBottom w:val="0"/>
      <w:divBdr>
        <w:top w:val="none" w:sz="0" w:space="0" w:color="auto"/>
        <w:left w:val="none" w:sz="0" w:space="0" w:color="auto"/>
        <w:bottom w:val="none" w:sz="0" w:space="0" w:color="auto"/>
        <w:right w:val="none" w:sz="0" w:space="0" w:color="auto"/>
      </w:divBdr>
    </w:div>
    <w:div w:id="309403446">
      <w:bodyDiv w:val="1"/>
      <w:marLeft w:val="0"/>
      <w:marRight w:val="0"/>
      <w:marTop w:val="0"/>
      <w:marBottom w:val="0"/>
      <w:divBdr>
        <w:top w:val="none" w:sz="0" w:space="0" w:color="auto"/>
        <w:left w:val="none" w:sz="0" w:space="0" w:color="auto"/>
        <w:bottom w:val="none" w:sz="0" w:space="0" w:color="auto"/>
        <w:right w:val="none" w:sz="0" w:space="0" w:color="auto"/>
      </w:divBdr>
    </w:div>
    <w:div w:id="314921506">
      <w:bodyDiv w:val="1"/>
      <w:marLeft w:val="0"/>
      <w:marRight w:val="0"/>
      <w:marTop w:val="0"/>
      <w:marBottom w:val="0"/>
      <w:divBdr>
        <w:top w:val="none" w:sz="0" w:space="0" w:color="auto"/>
        <w:left w:val="none" w:sz="0" w:space="0" w:color="auto"/>
        <w:bottom w:val="none" w:sz="0" w:space="0" w:color="auto"/>
        <w:right w:val="none" w:sz="0" w:space="0" w:color="auto"/>
      </w:divBdr>
    </w:div>
    <w:div w:id="319237849">
      <w:bodyDiv w:val="1"/>
      <w:marLeft w:val="0"/>
      <w:marRight w:val="0"/>
      <w:marTop w:val="0"/>
      <w:marBottom w:val="0"/>
      <w:divBdr>
        <w:top w:val="none" w:sz="0" w:space="0" w:color="auto"/>
        <w:left w:val="none" w:sz="0" w:space="0" w:color="auto"/>
        <w:bottom w:val="none" w:sz="0" w:space="0" w:color="auto"/>
        <w:right w:val="none" w:sz="0" w:space="0" w:color="auto"/>
      </w:divBdr>
    </w:div>
    <w:div w:id="321586502">
      <w:bodyDiv w:val="1"/>
      <w:marLeft w:val="0"/>
      <w:marRight w:val="0"/>
      <w:marTop w:val="0"/>
      <w:marBottom w:val="0"/>
      <w:divBdr>
        <w:top w:val="none" w:sz="0" w:space="0" w:color="auto"/>
        <w:left w:val="none" w:sz="0" w:space="0" w:color="auto"/>
        <w:bottom w:val="none" w:sz="0" w:space="0" w:color="auto"/>
        <w:right w:val="none" w:sz="0" w:space="0" w:color="auto"/>
      </w:divBdr>
    </w:div>
    <w:div w:id="386152238">
      <w:bodyDiv w:val="1"/>
      <w:marLeft w:val="0"/>
      <w:marRight w:val="0"/>
      <w:marTop w:val="0"/>
      <w:marBottom w:val="0"/>
      <w:divBdr>
        <w:top w:val="none" w:sz="0" w:space="0" w:color="auto"/>
        <w:left w:val="none" w:sz="0" w:space="0" w:color="auto"/>
        <w:bottom w:val="none" w:sz="0" w:space="0" w:color="auto"/>
        <w:right w:val="none" w:sz="0" w:space="0" w:color="auto"/>
      </w:divBdr>
      <w:divsChild>
        <w:div w:id="1236358034">
          <w:marLeft w:val="0"/>
          <w:marRight w:val="0"/>
          <w:marTop w:val="0"/>
          <w:marBottom w:val="0"/>
          <w:divBdr>
            <w:top w:val="none" w:sz="0" w:space="0" w:color="auto"/>
            <w:left w:val="none" w:sz="0" w:space="0" w:color="auto"/>
            <w:bottom w:val="none" w:sz="0" w:space="0" w:color="auto"/>
            <w:right w:val="none" w:sz="0" w:space="0" w:color="auto"/>
          </w:divBdr>
        </w:div>
      </w:divsChild>
    </w:div>
    <w:div w:id="562370013">
      <w:bodyDiv w:val="1"/>
      <w:marLeft w:val="0"/>
      <w:marRight w:val="0"/>
      <w:marTop w:val="0"/>
      <w:marBottom w:val="0"/>
      <w:divBdr>
        <w:top w:val="none" w:sz="0" w:space="0" w:color="auto"/>
        <w:left w:val="none" w:sz="0" w:space="0" w:color="auto"/>
        <w:bottom w:val="none" w:sz="0" w:space="0" w:color="auto"/>
        <w:right w:val="none" w:sz="0" w:space="0" w:color="auto"/>
      </w:divBdr>
    </w:div>
    <w:div w:id="571543694">
      <w:bodyDiv w:val="1"/>
      <w:marLeft w:val="0"/>
      <w:marRight w:val="0"/>
      <w:marTop w:val="0"/>
      <w:marBottom w:val="0"/>
      <w:divBdr>
        <w:top w:val="none" w:sz="0" w:space="0" w:color="auto"/>
        <w:left w:val="none" w:sz="0" w:space="0" w:color="auto"/>
        <w:bottom w:val="none" w:sz="0" w:space="0" w:color="auto"/>
        <w:right w:val="none" w:sz="0" w:space="0" w:color="auto"/>
      </w:divBdr>
      <w:divsChild>
        <w:div w:id="8916033">
          <w:marLeft w:val="0"/>
          <w:marRight w:val="0"/>
          <w:marTop w:val="0"/>
          <w:marBottom w:val="0"/>
          <w:divBdr>
            <w:top w:val="none" w:sz="0" w:space="0" w:color="auto"/>
            <w:left w:val="none" w:sz="0" w:space="0" w:color="auto"/>
            <w:bottom w:val="none" w:sz="0" w:space="0" w:color="auto"/>
            <w:right w:val="none" w:sz="0" w:space="0" w:color="auto"/>
          </w:divBdr>
        </w:div>
      </w:divsChild>
    </w:div>
    <w:div w:id="596905621">
      <w:bodyDiv w:val="1"/>
      <w:marLeft w:val="0"/>
      <w:marRight w:val="0"/>
      <w:marTop w:val="0"/>
      <w:marBottom w:val="0"/>
      <w:divBdr>
        <w:top w:val="none" w:sz="0" w:space="0" w:color="auto"/>
        <w:left w:val="none" w:sz="0" w:space="0" w:color="auto"/>
        <w:bottom w:val="none" w:sz="0" w:space="0" w:color="auto"/>
        <w:right w:val="none" w:sz="0" w:space="0" w:color="auto"/>
      </w:divBdr>
      <w:divsChild>
        <w:div w:id="696127669">
          <w:marLeft w:val="0"/>
          <w:marRight w:val="0"/>
          <w:marTop w:val="0"/>
          <w:marBottom w:val="0"/>
          <w:divBdr>
            <w:top w:val="none" w:sz="0" w:space="0" w:color="auto"/>
            <w:left w:val="none" w:sz="0" w:space="0" w:color="auto"/>
            <w:bottom w:val="none" w:sz="0" w:space="0" w:color="auto"/>
            <w:right w:val="none" w:sz="0" w:space="0" w:color="auto"/>
          </w:divBdr>
        </w:div>
        <w:div w:id="183592829">
          <w:marLeft w:val="0"/>
          <w:marRight w:val="0"/>
          <w:marTop w:val="0"/>
          <w:marBottom w:val="0"/>
          <w:divBdr>
            <w:top w:val="none" w:sz="0" w:space="0" w:color="auto"/>
            <w:left w:val="none" w:sz="0" w:space="0" w:color="auto"/>
            <w:bottom w:val="none" w:sz="0" w:space="0" w:color="auto"/>
            <w:right w:val="none" w:sz="0" w:space="0" w:color="auto"/>
          </w:divBdr>
        </w:div>
        <w:div w:id="1016687998">
          <w:marLeft w:val="0"/>
          <w:marRight w:val="0"/>
          <w:marTop w:val="0"/>
          <w:marBottom w:val="0"/>
          <w:divBdr>
            <w:top w:val="none" w:sz="0" w:space="0" w:color="auto"/>
            <w:left w:val="none" w:sz="0" w:space="0" w:color="auto"/>
            <w:bottom w:val="none" w:sz="0" w:space="0" w:color="auto"/>
            <w:right w:val="none" w:sz="0" w:space="0" w:color="auto"/>
          </w:divBdr>
        </w:div>
      </w:divsChild>
    </w:div>
    <w:div w:id="608782762">
      <w:bodyDiv w:val="1"/>
      <w:marLeft w:val="0"/>
      <w:marRight w:val="0"/>
      <w:marTop w:val="0"/>
      <w:marBottom w:val="0"/>
      <w:divBdr>
        <w:top w:val="none" w:sz="0" w:space="0" w:color="auto"/>
        <w:left w:val="none" w:sz="0" w:space="0" w:color="auto"/>
        <w:bottom w:val="none" w:sz="0" w:space="0" w:color="auto"/>
        <w:right w:val="none" w:sz="0" w:space="0" w:color="auto"/>
      </w:divBdr>
    </w:div>
    <w:div w:id="610362686">
      <w:bodyDiv w:val="1"/>
      <w:marLeft w:val="0"/>
      <w:marRight w:val="0"/>
      <w:marTop w:val="0"/>
      <w:marBottom w:val="0"/>
      <w:divBdr>
        <w:top w:val="none" w:sz="0" w:space="0" w:color="auto"/>
        <w:left w:val="none" w:sz="0" w:space="0" w:color="auto"/>
        <w:bottom w:val="none" w:sz="0" w:space="0" w:color="auto"/>
        <w:right w:val="none" w:sz="0" w:space="0" w:color="auto"/>
      </w:divBdr>
      <w:divsChild>
        <w:div w:id="847065349">
          <w:marLeft w:val="0"/>
          <w:marRight w:val="0"/>
          <w:marTop w:val="0"/>
          <w:marBottom w:val="0"/>
          <w:divBdr>
            <w:top w:val="none" w:sz="0" w:space="0" w:color="auto"/>
            <w:left w:val="none" w:sz="0" w:space="0" w:color="auto"/>
            <w:bottom w:val="none" w:sz="0" w:space="0" w:color="auto"/>
            <w:right w:val="none" w:sz="0" w:space="0" w:color="auto"/>
          </w:divBdr>
        </w:div>
      </w:divsChild>
    </w:div>
    <w:div w:id="803961701">
      <w:bodyDiv w:val="1"/>
      <w:marLeft w:val="0"/>
      <w:marRight w:val="0"/>
      <w:marTop w:val="0"/>
      <w:marBottom w:val="0"/>
      <w:divBdr>
        <w:top w:val="none" w:sz="0" w:space="0" w:color="auto"/>
        <w:left w:val="none" w:sz="0" w:space="0" w:color="auto"/>
        <w:bottom w:val="none" w:sz="0" w:space="0" w:color="auto"/>
        <w:right w:val="none" w:sz="0" w:space="0" w:color="auto"/>
      </w:divBdr>
      <w:divsChild>
        <w:div w:id="1177034882">
          <w:marLeft w:val="0"/>
          <w:marRight w:val="0"/>
          <w:marTop w:val="0"/>
          <w:marBottom w:val="0"/>
          <w:divBdr>
            <w:top w:val="none" w:sz="0" w:space="0" w:color="auto"/>
            <w:left w:val="none" w:sz="0" w:space="0" w:color="auto"/>
            <w:bottom w:val="none" w:sz="0" w:space="0" w:color="auto"/>
            <w:right w:val="none" w:sz="0" w:space="0" w:color="auto"/>
          </w:divBdr>
        </w:div>
      </w:divsChild>
    </w:div>
    <w:div w:id="1012604919">
      <w:bodyDiv w:val="1"/>
      <w:marLeft w:val="0"/>
      <w:marRight w:val="0"/>
      <w:marTop w:val="0"/>
      <w:marBottom w:val="0"/>
      <w:divBdr>
        <w:top w:val="none" w:sz="0" w:space="0" w:color="auto"/>
        <w:left w:val="none" w:sz="0" w:space="0" w:color="auto"/>
        <w:bottom w:val="none" w:sz="0" w:space="0" w:color="auto"/>
        <w:right w:val="none" w:sz="0" w:space="0" w:color="auto"/>
      </w:divBdr>
    </w:div>
    <w:div w:id="1132332050">
      <w:bodyDiv w:val="1"/>
      <w:marLeft w:val="0"/>
      <w:marRight w:val="0"/>
      <w:marTop w:val="0"/>
      <w:marBottom w:val="0"/>
      <w:divBdr>
        <w:top w:val="none" w:sz="0" w:space="0" w:color="auto"/>
        <w:left w:val="none" w:sz="0" w:space="0" w:color="auto"/>
        <w:bottom w:val="none" w:sz="0" w:space="0" w:color="auto"/>
        <w:right w:val="none" w:sz="0" w:space="0" w:color="auto"/>
      </w:divBdr>
      <w:divsChild>
        <w:div w:id="680620849">
          <w:marLeft w:val="0"/>
          <w:marRight w:val="0"/>
          <w:marTop w:val="0"/>
          <w:marBottom w:val="0"/>
          <w:divBdr>
            <w:top w:val="none" w:sz="0" w:space="0" w:color="auto"/>
            <w:left w:val="none" w:sz="0" w:space="0" w:color="auto"/>
            <w:bottom w:val="none" w:sz="0" w:space="0" w:color="auto"/>
            <w:right w:val="none" w:sz="0" w:space="0" w:color="auto"/>
          </w:divBdr>
        </w:div>
        <w:div w:id="951475561">
          <w:marLeft w:val="0"/>
          <w:marRight w:val="0"/>
          <w:marTop w:val="0"/>
          <w:marBottom w:val="0"/>
          <w:divBdr>
            <w:top w:val="none" w:sz="0" w:space="0" w:color="auto"/>
            <w:left w:val="none" w:sz="0" w:space="0" w:color="auto"/>
            <w:bottom w:val="none" w:sz="0" w:space="0" w:color="auto"/>
            <w:right w:val="none" w:sz="0" w:space="0" w:color="auto"/>
          </w:divBdr>
        </w:div>
        <w:div w:id="1005550265">
          <w:marLeft w:val="0"/>
          <w:marRight w:val="0"/>
          <w:marTop w:val="0"/>
          <w:marBottom w:val="0"/>
          <w:divBdr>
            <w:top w:val="none" w:sz="0" w:space="0" w:color="auto"/>
            <w:left w:val="none" w:sz="0" w:space="0" w:color="auto"/>
            <w:bottom w:val="none" w:sz="0" w:space="0" w:color="auto"/>
            <w:right w:val="none" w:sz="0" w:space="0" w:color="auto"/>
          </w:divBdr>
        </w:div>
      </w:divsChild>
    </w:div>
    <w:div w:id="1182010002">
      <w:bodyDiv w:val="1"/>
      <w:marLeft w:val="0"/>
      <w:marRight w:val="0"/>
      <w:marTop w:val="0"/>
      <w:marBottom w:val="0"/>
      <w:divBdr>
        <w:top w:val="none" w:sz="0" w:space="0" w:color="auto"/>
        <w:left w:val="none" w:sz="0" w:space="0" w:color="auto"/>
        <w:bottom w:val="none" w:sz="0" w:space="0" w:color="auto"/>
        <w:right w:val="none" w:sz="0" w:space="0" w:color="auto"/>
      </w:divBdr>
    </w:div>
    <w:div w:id="1283731536">
      <w:bodyDiv w:val="1"/>
      <w:marLeft w:val="0"/>
      <w:marRight w:val="0"/>
      <w:marTop w:val="0"/>
      <w:marBottom w:val="0"/>
      <w:divBdr>
        <w:top w:val="none" w:sz="0" w:space="0" w:color="auto"/>
        <w:left w:val="none" w:sz="0" w:space="0" w:color="auto"/>
        <w:bottom w:val="none" w:sz="0" w:space="0" w:color="auto"/>
        <w:right w:val="none" w:sz="0" w:space="0" w:color="auto"/>
      </w:divBdr>
    </w:div>
    <w:div w:id="1317102888">
      <w:bodyDiv w:val="1"/>
      <w:marLeft w:val="0"/>
      <w:marRight w:val="0"/>
      <w:marTop w:val="0"/>
      <w:marBottom w:val="0"/>
      <w:divBdr>
        <w:top w:val="none" w:sz="0" w:space="0" w:color="auto"/>
        <w:left w:val="none" w:sz="0" w:space="0" w:color="auto"/>
        <w:bottom w:val="none" w:sz="0" w:space="0" w:color="auto"/>
        <w:right w:val="none" w:sz="0" w:space="0" w:color="auto"/>
      </w:divBdr>
    </w:div>
    <w:div w:id="1349718315">
      <w:bodyDiv w:val="1"/>
      <w:marLeft w:val="0"/>
      <w:marRight w:val="0"/>
      <w:marTop w:val="0"/>
      <w:marBottom w:val="0"/>
      <w:divBdr>
        <w:top w:val="none" w:sz="0" w:space="0" w:color="auto"/>
        <w:left w:val="none" w:sz="0" w:space="0" w:color="auto"/>
        <w:bottom w:val="none" w:sz="0" w:space="0" w:color="auto"/>
        <w:right w:val="none" w:sz="0" w:space="0" w:color="auto"/>
      </w:divBdr>
    </w:div>
    <w:div w:id="1350641186">
      <w:bodyDiv w:val="1"/>
      <w:marLeft w:val="0"/>
      <w:marRight w:val="0"/>
      <w:marTop w:val="0"/>
      <w:marBottom w:val="0"/>
      <w:divBdr>
        <w:top w:val="none" w:sz="0" w:space="0" w:color="auto"/>
        <w:left w:val="none" w:sz="0" w:space="0" w:color="auto"/>
        <w:bottom w:val="none" w:sz="0" w:space="0" w:color="auto"/>
        <w:right w:val="none" w:sz="0" w:space="0" w:color="auto"/>
      </w:divBdr>
    </w:div>
    <w:div w:id="1371032847">
      <w:bodyDiv w:val="1"/>
      <w:marLeft w:val="0"/>
      <w:marRight w:val="0"/>
      <w:marTop w:val="0"/>
      <w:marBottom w:val="0"/>
      <w:divBdr>
        <w:top w:val="none" w:sz="0" w:space="0" w:color="auto"/>
        <w:left w:val="none" w:sz="0" w:space="0" w:color="auto"/>
        <w:bottom w:val="none" w:sz="0" w:space="0" w:color="auto"/>
        <w:right w:val="none" w:sz="0" w:space="0" w:color="auto"/>
      </w:divBdr>
      <w:divsChild>
        <w:div w:id="427431976">
          <w:marLeft w:val="0"/>
          <w:marRight w:val="0"/>
          <w:marTop w:val="0"/>
          <w:marBottom w:val="0"/>
          <w:divBdr>
            <w:top w:val="none" w:sz="0" w:space="0" w:color="auto"/>
            <w:left w:val="none" w:sz="0" w:space="0" w:color="auto"/>
            <w:bottom w:val="none" w:sz="0" w:space="0" w:color="auto"/>
            <w:right w:val="none" w:sz="0" w:space="0" w:color="auto"/>
          </w:divBdr>
        </w:div>
      </w:divsChild>
    </w:div>
    <w:div w:id="1371614898">
      <w:bodyDiv w:val="1"/>
      <w:marLeft w:val="0"/>
      <w:marRight w:val="0"/>
      <w:marTop w:val="0"/>
      <w:marBottom w:val="0"/>
      <w:divBdr>
        <w:top w:val="none" w:sz="0" w:space="0" w:color="auto"/>
        <w:left w:val="none" w:sz="0" w:space="0" w:color="auto"/>
        <w:bottom w:val="none" w:sz="0" w:space="0" w:color="auto"/>
        <w:right w:val="none" w:sz="0" w:space="0" w:color="auto"/>
      </w:divBdr>
    </w:div>
    <w:div w:id="1427580080">
      <w:bodyDiv w:val="1"/>
      <w:marLeft w:val="0"/>
      <w:marRight w:val="0"/>
      <w:marTop w:val="0"/>
      <w:marBottom w:val="0"/>
      <w:divBdr>
        <w:top w:val="none" w:sz="0" w:space="0" w:color="auto"/>
        <w:left w:val="none" w:sz="0" w:space="0" w:color="auto"/>
        <w:bottom w:val="none" w:sz="0" w:space="0" w:color="auto"/>
        <w:right w:val="none" w:sz="0" w:space="0" w:color="auto"/>
      </w:divBdr>
    </w:div>
    <w:div w:id="1547252305">
      <w:bodyDiv w:val="1"/>
      <w:marLeft w:val="0"/>
      <w:marRight w:val="0"/>
      <w:marTop w:val="0"/>
      <w:marBottom w:val="0"/>
      <w:divBdr>
        <w:top w:val="none" w:sz="0" w:space="0" w:color="auto"/>
        <w:left w:val="none" w:sz="0" w:space="0" w:color="auto"/>
        <w:bottom w:val="none" w:sz="0" w:space="0" w:color="auto"/>
        <w:right w:val="none" w:sz="0" w:space="0" w:color="auto"/>
      </w:divBdr>
    </w:div>
    <w:div w:id="1611543059">
      <w:bodyDiv w:val="1"/>
      <w:marLeft w:val="0"/>
      <w:marRight w:val="0"/>
      <w:marTop w:val="0"/>
      <w:marBottom w:val="0"/>
      <w:divBdr>
        <w:top w:val="none" w:sz="0" w:space="0" w:color="auto"/>
        <w:left w:val="none" w:sz="0" w:space="0" w:color="auto"/>
        <w:bottom w:val="none" w:sz="0" w:space="0" w:color="auto"/>
        <w:right w:val="none" w:sz="0" w:space="0" w:color="auto"/>
      </w:divBdr>
      <w:divsChild>
        <w:div w:id="992098931">
          <w:marLeft w:val="0"/>
          <w:marRight w:val="0"/>
          <w:marTop w:val="0"/>
          <w:marBottom w:val="0"/>
          <w:divBdr>
            <w:top w:val="none" w:sz="0" w:space="0" w:color="auto"/>
            <w:left w:val="none" w:sz="0" w:space="0" w:color="auto"/>
            <w:bottom w:val="none" w:sz="0" w:space="0" w:color="auto"/>
            <w:right w:val="none" w:sz="0" w:space="0" w:color="auto"/>
          </w:divBdr>
        </w:div>
      </w:divsChild>
    </w:div>
    <w:div w:id="1660840548">
      <w:bodyDiv w:val="1"/>
      <w:marLeft w:val="0"/>
      <w:marRight w:val="0"/>
      <w:marTop w:val="0"/>
      <w:marBottom w:val="0"/>
      <w:divBdr>
        <w:top w:val="none" w:sz="0" w:space="0" w:color="auto"/>
        <w:left w:val="none" w:sz="0" w:space="0" w:color="auto"/>
        <w:bottom w:val="none" w:sz="0" w:space="0" w:color="auto"/>
        <w:right w:val="none" w:sz="0" w:space="0" w:color="auto"/>
      </w:divBdr>
    </w:div>
    <w:div w:id="1684015112">
      <w:bodyDiv w:val="1"/>
      <w:marLeft w:val="0"/>
      <w:marRight w:val="0"/>
      <w:marTop w:val="0"/>
      <w:marBottom w:val="0"/>
      <w:divBdr>
        <w:top w:val="none" w:sz="0" w:space="0" w:color="auto"/>
        <w:left w:val="none" w:sz="0" w:space="0" w:color="auto"/>
        <w:bottom w:val="none" w:sz="0" w:space="0" w:color="auto"/>
        <w:right w:val="none" w:sz="0" w:space="0" w:color="auto"/>
      </w:divBdr>
    </w:div>
    <w:div w:id="1693606090">
      <w:bodyDiv w:val="1"/>
      <w:marLeft w:val="0"/>
      <w:marRight w:val="0"/>
      <w:marTop w:val="0"/>
      <w:marBottom w:val="0"/>
      <w:divBdr>
        <w:top w:val="none" w:sz="0" w:space="0" w:color="auto"/>
        <w:left w:val="none" w:sz="0" w:space="0" w:color="auto"/>
        <w:bottom w:val="none" w:sz="0" w:space="0" w:color="auto"/>
        <w:right w:val="none" w:sz="0" w:space="0" w:color="auto"/>
      </w:divBdr>
    </w:div>
    <w:div w:id="1733311714">
      <w:bodyDiv w:val="1"/>
      <w:marLeft w:val="0"/>
      <w:marRight w:val="0"/>
      <w:marTop w:val="0"/>
      <w:marBottom w:val="0"/>
      <w:divBdr>
        <w:top w:val="none" w:sz="0" w:space="0" w:color="auto"/>
        <w:left w:val="none" w:sz="0" w:space="0" w:color="auto"/>
        <w:bottom w:val="none" w:sz="0" w:space="0" w:color="auto"/>
        <w:right w:val="none" w:sz="0" w:space="0" w:color="auto"/>
      </w:divBdr>
      <w:divsChild>
        <w:div w:id="1927153080">
          <w:marLeft w:val="0"/>
          <w:marRight w:val="0"/>
          <w:marTop w:val="0"/>
          <w:marBottom w:val="0"/>
          <w:divBdr>
            <w:top w:val="none" w:sz="0" w:space="0" w:color="auto"/>
            <w:left w:val="none" w:sz="0" w:space="0" w:color="auto"/>
            <w:bottom w:val="none" w:sz="0" w:space="0" w:color="auto"/>
            <w:right w:val="none" w:sz="0" w:space="0" w:color="auto"/>
          </w:divBdr>
        </w:div>
      </w:divsChild>
    </w:div>
    <w:div w:id="1758012050">
      <w:bodyDiv w:val="1"/>
      <w:marLeft w:val="0"/>
      <w:marRight w:val="0"/>
      <w:marTop w:val="0"/>
      <w:marBottom w:val="0"/>
      <w:divBdr>
        <w:top w:val="none" w:sz="0" w:space="0" w:color="auto"/>
        <w:left w:val="none" w:sz="0" w:space="0" w:color="auto"/>
        <w:bottom w:val="none" w:sz="0" w:space="0" w:color="auto"/>
        <w:right w:val="none" w:sz="0" w:space="0" w:color="auto"/>
      </w:divBdr>
      <w:divsChild>
        <w:div w:id="1784225043">
          <w:marLeft w:val="0"/>
          <w:marRight w:val="0"/>
          <w:marTop w:val="0"/>
          <w:marBottom w:val="0"/>
          <w:divBdr>
            <w:top w:val="none" w:sz="0" w:space="0" w:color="auto"/>
            <w:left w:val="none" w:sz="0" w:space="0" w:color="auto"/>
            <w:bottom w:val="none" w:sz="0" w:space="0" w:color="auto"/>
            <w:right w:val="none" w:sz="0" w:space="0" w:color="auto"/>
          </w:divBdr>
        </w:div>
      </w:divsChild>
    </w:div>
    <w:div w:id="1781875765">
      <w:bodyDiv w:val="1"/>
      <w:marLeft w:val="0"/>
      <w:marRight w:val="0"/>
      <w:marTop w:val="0"/>
      <w:marBottom w:val="0"/>
      <w:divBdr>
        <w:top w:val="none" w:sz="0" w:space="0" w:color="auto"/>
        <w:left w:val="none" w:sz="0" w:space="0" w:color="auto"/>
        <w:bottom w:val="none" w:sz="0" w:space="0" w:color="auto"/>
        <w:right w:val="none" w:sz="0" w:space="0" w:color="auto"/>
      </w:divBdr>
    </w:div>
    <w:div w:id="1825275897">
      <w:bodyDiv w:val="1"/>
      <w:marLeft w:val="0"/>
      <w:marRight w:val="0"/>
      <w:marTop w:val="0"/>
      <w:marBottom w:val="0"/>
      <w:divBdr>
        <w:top w:val="none" w:sz="0" w:space="0" w:color="auto"/>
        <w:left w:val="none" w:sz="0" w:space="0" w:color="auto"/>
        <w:bottom w:val="none" w:sz="0" w:space="0" w:color="auto"/>
        <w:right w:val="none" w:sz="0" w:space="0" w:color="auto"/>
      </w:divBdr>
    </w:div>
    <w:div w:id="1868644086">
      <w:bodyDiv w:val="1"/>
      <w:marLeft w:val="0"/>
      <w:marRight w:val="0"/>
      <w:marTop w:val="0"/>
      <w:marBottom w:val="0"/>
      <w:divBdr>
        <w:top w:val="none" w:sz="0" w:space="0" w:color="auto"/>
        <w:left w:val="none" w:sz="0" w:space="0" w:color="auto"/>
        <w:bottom w:val="none" w:sz="0" w:space="0" w:color="auto"/>
        <w:right w:val="none" w:sz="0" w:space="0" w:color="auto"/>
      </w:divBdr>
    </w:div>
    <w:div w:id="1917084997">
      <w:bodyDiv w:val="1"/>
      <w:marLeft w:val="0"/>
      <w:marRight w:val="0"/>
      <w:marTop w:val="0"/>
      <w:marBottom w:val="0"/>
      <w:divBdr>
        <w:top w:val="none" w:sz="0" w:space="0" w:color="auto"/>
        <w:left w:val="none" w:sz="0" w:space="0" w:color="auto"/>
        <w:bottom w:val="none" w:sz="0" w:space="0" w:color="auto"/>
        <w:right w:val="none" w:sz="0" w:space="0" w:color="auto"/>
      </w:divBdr>
    </w:div>
    <w:div w:id="2112312738">
      <w:bodyDiv w:val="1"/>
      <w:marLeft w:val="0"/>
      <w:marRight w:val="0"/>
      <w:marTop w:val="0"/>
      <w:marBottom w:val="0"/>
      <w:divBdr>
        <w:top w:val="none" w:sz="0" w:space="0" w:color="auto"/>
        <w:left w:val="none" w:sz="0" w:space="0" w:color="auto"/>
        <w:bottom w:val="none" w:sz="0" w:space="0" w:color="auto"/>
        <w:right w:val="none" w:sz="0" w:space="0" w:color="auto"/>
      </w:divBdr>
    </w:div>
    <w:div w:id="2147232905">
      <w:bodyDiv w:val="1"/>
      <w:marLeft w:val="0"/>
      <w:marRight w:val="0"/>
      <w:marTop w:val="0"/>
      <w:marBottom w:val="0"/>
      <w:divBdr>
        <w:top w:val="none" w:sz="0" w:space="0" w:color="auto"/>
        <w:left w:val="none" w:sz="0" w:space="0" w:color="auto"/>
        <w:bottom w:val="none" w:sz="0" w:space="0" w:color="auto"/>
        <w:right w:val="none" w:sz="0" w:space="0" w:color="auto"/>
      </w:divBdr>
      <w:divsChild>
        <w:div w:id="1337070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sfinansy.ru/group?groupId=4592793&amp;locale=ru&amp;date=2025-12-01&amp;isStatic=false&amp;pubAlias=mcfr-gf.plus" TargetMode="External"/><Relationship Id="rId18" Type="http://schemas.openxmlformats.org/officeDocument/2006/relationships/hyperlink" Target="https://www.gosfinansy.ru/" TargetMode="External"/><Relationship Id="rId26" Type="http://schemas.openxmlformats.org/officeDocument/2006/relationships/hyperlink" Target="https://gosfinansy.ru/group?groupId=124650923&amp;locale=ru&amp;date=2025-12-01&amp;isStatic=false&amp;anchor=XA00M8U2N8&amp;pubAlias=mcfr-gf.plus" TargetMode="External"/><Relationship Id="rId39" Type="http://schemas.openxmlformats.org/officeDocument/2006/relationships/hyperlink" Target="https://www.gosfinansy.ru/" TargetMode="External"/><Relationship Id="rId21" Type="http://schemas.openxmlformats.org/officeDocument/2006/relationships/hyperlink" Target="https://gosfinansy.ru/group?groupId=397156&amp;locale=ru&amp;date=2025-12-01&amp;isStatic=false&amp;anchor=XA00M502MN&amp;pubAlias=mcfr-gf.plus" TargetMode="External"/><Relationship Id="rId34" Type="http://schemas.openxmlformats.org/officeDocument/2006/relationships/hyperlink" Target="https://www.gosfinansy.ru/" TargetMode="External"/><Relationship Id="rId42" Type="http://schemas.openxmlformats.org/officeDocument/2006/relationships/hyperlink" Target="https://gosfinansy.ru/group?groupId=124650923&amp;locale=ru&amp;date=2025-12-01&amp;isStatic=false&amp;anchor=XA00MB42NJ&amp;pubAlias=mcfr-gf.plus" TargetMode="External"/><Relationship Id="rId47" Type="http://schemas.openxmlformats.org/officeDocument/2006/relationships/hyperlink" Target="https://gosfinansy.ru/group?groupId=2&amp;locale=ru&amp;date=2026-01-01&amp;isStatic=false&amp;anchor=ZAP235G3CP&amp;pubAlias=mcfr-gf.plus" TargetMode="External"/><Relationship Id="rId50" Type="http://schemas.openxmlformats.org/officeDocument/2006/relationships/hyperlink" Target="https://gosfinansy.ru/group?groupId=2&amp;locale=ru&amp;date=2026-01-01&amp;isStatic=false&amp;anchor=XA00MBC2NN&amp;pubAlias=mcfr-gf.plus" TargetMode="External"/><Relationship Id="rId55" Type="http://schemas.openxmlformats.org/officeDocument/2006/relationships/hyperlink" Target="https://gosfinansy.ru/group?groupId=1614001&amp;locale=ru&amp;date=2025-12-01&amp;isStatic=false&amp;pubAlias=mcfr-gf.plus" TargetMode="External"/><Relationship Id="rId7" Type="http://schemas.openxmlformats.org/officeDocument/2006/relationships/hyperlink" Target="https://gosfinansy.ru/" TargetMode="External"/><Relationship Id="rId2" Type="http://schemas.openxmlformats.org/officeDocument/2006/relationships/numbering" Target="numbering.xml"/><Relationship Id="rId16" Type="http://schemas.openxmlformats.org/officeDocument/2006/relationships/hyperlink" Target="https://www.gosfinansy.ru/" TargetMode="External"/><Relationship Id="rId29" Type="http://schemas.openxmlformats.org/officeDocument/2006/relationships/hyperlink" Target="https://www.gosfinansy.ru/" TargetMode="External"/><Relationship Id="rId11" Type="http://schemas.openxmlformats.org/officeDocument/2006/relationships/hyperlink" Target="https://gosfinansy.ru/group?groupId=397156&amp;locale=ru&amp;date=2025-12-01&amp;isStatic=false&amp;anchor=XA00M3S2MH&amp;pubAlias=mcfr-gf.plus" TargetMode="External"/><Relationship Id="rId24" Type="http://schemas.openxmlformats.org/officeDocument/2006/relationships/hyperlink" Target="https://gosfinansy.ru/group?groupId=4592793&amp;locale=ru&amp;date=2025-12-01&amp;isStatic=false&amp;pubAlias=mcfr-gf.plus" TargetMode="External"/><Relationship Id="rId32" Type="http://schemas.openxmlformats.org/officeDocument/2006/relationships/hyperlink" Target="https://gosfinansy.ru/" TargetMode="External"/><Relationship Id="rId37" Type="http://schemas.openxmlformats.org/officeDocument/2006/relationships/hyperlink" Target="https://www.gosfinansy.ru/" TargetMode="External"/><Relationship Id="rId40" Type="http://schemas.openxmlformats.org/officeDocument/2006/relationships/hyperlink" Target="https://gosfinansy.ru/group?groupId=48930419&amp;locale=ru&amp;date=2025-12-01&amp;isStatic=false&amp;anchor=XA00M7S2MM&amp;pubAlias=mcfr-gf.plus" TargetMode="External"/><Relationship Id="rId45" Type="http://schemas.openxmlformats.org/officeDocument/2006/relationships/hyperlink" Target="https://www.gosfinansy.ru/" TargetMode="External"/><Relationship Id="rId53" Type="http://schemas.openxmlformats.org/officeDocument/2006/relationships/hyperlink" Target="https://www.gosfinansy.ru/" TargetMode="External"/><Relationship Id="rId58" Type="http://schemas.openxmlformats.org/officeDocument/2006/relationships/hyperlink" Target="https://gosfinansy.ru/group?groupId=35264041&amp;locale=ru&amp;date=2025-12-01&amp;isStatic=false&amp;anchor=XA00MAM2NB&amp;pubAlias=mcfr-gf.plus" TargetMode="External"/><Relationship Id="rId5" Type="http://schemas.openxmlformats.org/officeDocument/2006/relationships/webSettings" Target="webSettings.xml"/><Relationship Id="rId19" Type="http://schemas.openxmlformats.org/officeDocument/2006/relationships/hyperlink" Target="https://www.gosfinansy.ru/" TargetMode="External"/><Relationship Id="rId4" Type="http://schemas.openxmlformats.org/officeDocument/2006/relationships/settings" Target="settings.xml"/><Relationship Id="rId9" Type="http://schemas.openxmlformats.org/officeDocument/2006/relationships/hyperlink" Target="https://gosfinansy.ru/group?groupId=35264041&amp;locale=ru&amp;date=2025-12-01&amp;isStatic=false&amp;anchor=XA00MCE2N2&amp;pubAlias=mcfr-gf.plus" TargetMode="External"/><Relationship Id="rId14" Type="http://schemas.openxmlformats.org/officeDocument/2006/relationships/hyperlink" Target="https://gosfinansy.ru/group?groupId=4592793&amp;locale=ru&amp;date=2025-12-01&amp;isStatic=false&amp;anchor=ZAP2HUM3MT&amp;pubAlias=mcfr-gf.plus" TargetMode="External"/><Relationship Id="rId22" Type="http://schemas.openxmlformats.org/officeDocument/2006/relationships/hyperlink" Target="https://gosfinansy.ru/group?groupId=21360420&amp;locale=ru&amp;date=2025-12-01&amp;isStatic=false&amp;anchor=XA00MCC2NQ&amp;pubAlias=mcfr-gf.plus" TargetMode="External"/><Relationship Id="rId27" Type="http://schemas.openxmlformats.org/officeDocument/2006/relationships/hyperlink" Target="https://gosfinansy.ru/group?groupId=21634950&amp;locale=ru&amp;date=2025-12-01&amp;isStatic=false&amp;anchor=XA00M742ME&amp;pubAlias=mcfr-gf.plus" TargetMode="External"/><Relationship Id="rId30" Type="http://schemas.openxmlformats.org/officeDocument/2006/relationships/hyperlink" Target="https://www.gosfinansy.ru/" TargetMode="External"/><Relationship Id="rId35" Type="http://schemas.openxmlformats.org/officeDocument/2006/relationships/hyperlink" Target="https://www.gosfinansy.ru/" TargetMode="External"/><Relationship Id="rId43" Type="http://schemas.openxmlformats.org/officeDocument/2006/relationships/hyperlink" Target="https://www.gosfinansy.ru/" TargetMode="External"/><Relationship Id="rId48" Type="http://schemas.openxmlformats.org/officeDocument/2006/relationships/hyperlink" Target="https://gosfinansy.ru/group?groupId=2&amp;locale=ru&amp;date=2026-01-01&amp;isStatic=false&amp;anchor=ZAP26MO3GF&amp;pubAlias=mcfr-gf.plus" TargetMode="External"/><Relationship Id="rId56" Type="http://schemas.openxmlformats.org/officeDocument/2006/relationships/hyperlink" Target="https://www.gosfinansy.ru/" TargetMode="External"/><Relationship Id="rId8" Type="http://schemas.openxmlformats.org/officeDocument/2006/relationships/hyperlink" Target="https://gosfinansy.ru/group?groupId=35264041&amp;locale=ru&amp;date=2025-12-01&amp;isStatic=false&amp;anchor=XA00M7U2N6&amp;pubAlias=mcfr-gf.plus" TargetMode="External"/><Relationship Id="rId51" Type="http://schemas.openxmlformats.org/officeDocument/2006/relationships/hyperlink" Target="https://gosfinansy.ru/group?groupId=397156&amp;locale=ru&amp;date=2025-11-25&amp;isStatic=false&amp;pubAlias=mcfr-gf.plus" TargetMode="External"/><Relationship Id="rId3" Type="http://schemas.openxmlformats.org/officeDocument/2006/relationships/styles" Target="styles.xml"/><Relationship Id="rId12" Type="http://schemas.openxmlformats.org/officeDocument/2006/relationships/hyperlink" Target="https://gosfinansy.ru/group?groupId=4592793&amp;locale=ru&amp;date=2025-12-01&amp;isStatic=false&amp;anchor=ZAP2HUM3MT&amp;pubAlias=mcfr-gf.plus" TargetMode="External"/><Relationship Id="rId17" Type="http://schemas.openxmlformats.org/officeDocument/2006/relationships/hyperlink" Target="https://www.gosfinansy.ru/" TargetMode="External"/><Relationship Id="rId25" Type="http://schemas.openxmlformats.org/officeDocument/2006/relationships/hyperlink" Target="https://gosfinansy.ru/group?groupId=306660&amp;locale=ru&amp;date=2025-12-01&amp;isStatic=false&amp;anchor=ZA00MKG2NN&amp;pubAlias=mcfr-gf.plus" TargetMode="External"/><Relationship Id="rId33" Type="http://schemas.openxmlformats.org/officeDocument/2006/relationships/hyperlink" Target="https://gosfinansy.ru/group?groupId=21634950&amp;locale=ru&amp;date=2025-12-01&amp;isStatic=false&amp;anchor=XA00MCS2NS&amp;pubAlias=mcfr-gf.plus" TargetMode="External"/><Relationship Id="rId38" Type="http://schemas.openxmlformats.org/officeDocument/2006/relationships/hyperlink" Target="https://gosfinansy.ru/group?groupId=48930419&amp;locale=ru&amp;date=2025-12-01&amp;isStatic=false&amp;anchor=XA00M7M2N1&amp;pubAlias=mcfr-gf.plus" TargetMode="External"/><Relationship Id="rId46" Type="http://schemas.openxmlformats.org/officeDocument/2006/relationships/hyperlink" Target="https://www.gosfinansy.ru/" TargetMode="External"/><Relationship Id="rId59" Type="http://schemas.openxmlformats.org/officeDocument/2006/relationships/fontTable" Target="fontTable.xml"/><Relationship Id="rId20" Type="http://schemas.openxmlformats.org/officeDocument/2006/relationships/hyperlink" Target="https://www.gosfinansy.ru/" TargetMode="External"/><Relationship Id="rId41" Type="http://schemas.openxmlformats.org/officeDocument/2006/relationships/hyperlink" Target="https://www.gosfinansy.ru/" TargetMode="External"/><Relationship Id="rId54" Type="http://schemas.openxmlformats.org/officeDocument/2006/relationships/hyperlink" Target="https://gosfinansy.ru/group?groupId=36584916&amp;locale=ru&amp;date=2025-12-01&amp;isStatic=false&amp;anchor=XA00M5O2MC&amp;pubAlias=mcfr-gf.plus" TargetMode="External"/><Relationship Id="rId1" Type="http://schemas.openxmlformats.org/officeDocument/2006/relationships/customXml" Target="../customXml/item1.xml"/><Relationship Id="rId6" Type="http://schemas.openxmlformats.org/officeDocument/2006/relationships/hyperlink" Target="https://gosfinansy.ru/group?groupId=35264041&amp;locale=ru&amp;date=2025-12-01&amp;isStatic=false&amp;anchor=XA00M7U2N6&amp;pubAlias=mcfr-gf.plus" TargetMode="External"/><Relationship Id="rId15" Type="http://schemas.openxmlformats.org/officeDocument/2006/relationships/hyperlink" Target="https://gosfinansy.ru/group?groupId=4592793&amp;locale=ru&amp;date=2025-12-01&amp;isStatic=false&amp;pubAlias=mcfr-gf.plus" TargetMode="External"/><Relationship Id="rId23" Type="http://schemas.openxmlformats.org/officeDocument/2006/relationships/hyperlink" Target="https://gosfinansy.ru/group?groupId=4592793&amp;locale=ru&amp;date=2025-12-01&amp;isStatic=false&amp;anchor=ZAP2HUM3MT&amp;pubAlias=mcfr-gf.plus" TargetMode="External"/><Relationship Id="rId28" Type="http://schemas.openxmlformats.org/officeDocument/2006/relationships/hyperlink" Target="https://www.gosfinansy.ru/" TargetMode="External"/><Relationship Id="rId36" Type="http://schemas.openxmlformats.org/officeDocument/2006/relationships/hyperlink" Target="https://www.gosfinansy.ru/" TargetMode="External"/><Relationship Id="rId49" Type="http://schemas.openxmlformats.org/officeDocument/2006/relationships/hyperlink" Target="https://gosfinansy.ru/group?groupId=2&amp;locale=ru&amp;date=2026-01-01&amp;isStatic=false&amp;anchor=XA00M3O2ME&amp;pubAlias=mcfr-gf.plus" TargetMode="External"/><Relationship Id="rId57" Type="http://schemas.openxmlformats.org/officeDocument/2006/relationships/hyperlink" Target="https://gosfinansy.ru/group?groupId=35264041&amp;locale=ru&amp;date=2025-12-01&amp;isStatic=false&amp;anchor=XA00M902N2&amp;pubAlias=mcfr-gf.plus" TargetMode="External"/><Relationship Id="rId10" Type="http://schemas.openxmlformats.org/officeDocument/2006/relationships/hyperlink" Target="https://gosfinansy.ru/group?groupId=35264041&amp;locale=ru&amp;date=2025-12-01&amp;isStatic=false&amp;anchor=XA00MBS2NO&amp;pubAlias=mcfr-gf.plus" TargetMode="External"/><Relationship Id="rId31" Type="http://schemas.openxmlformats.org/officeDocument/2006/relationships/hyperlink" Target="https://www.gosfinansy.ru/" TargetMode="External"/><Relationship Id="rId44" Type="http://schemas.openxmlformats.org/officeDocument/2006/relationships/hyperlink" Target="https://www.gosfinansy.ru/" TargetMode="External"/><Relationship Id="rId52" Type="http://schemas.openxmlformats.org/officeDocument/2006/relationships/hyperlink" Target="https://www.gosfinansy.ru/"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786A5-37AE-42F6-ABD1-5FB85AC4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4874</Words>
  <Characters>27786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oe.vilkova</dc:creator>
  <cp:lastModifiedBy>User</cp:lastModifiedBy>
  <cp:revision>4</cp:revision>
  <dcterms:created xsi:type="dcterms:W3CDTF">2026-01-19T07:01:00Z</dcterms:created>
  <dcterms:modified xsi:type="dcterms:W3CDTF">2026-01-19T07:20:00Z</dcterms:modified>
</cp:coreProperties>
</file>